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0" w:after="0"/>
      </w:pPr>
      <w:r>
        <w:rPr>
          <w:rFonts w:ascii="Microsoft YaHei" w:hAnsi="Microsoft YaHei" w:eastAsia="Microsoft YaHei"/>
          <w:b/>
          <w:color w:val="000000"/>
          <w:sz w:val="25"/>
        </w:rPr>
        <w:t>AUREK</w:t>
      </w:r>
      <w:r>
        <w:rPr>
          <w:rFonts w:ascii="Microsoft YaHei" w:hAnsi="Microsoft YaHei" w:eastAsia="Microsoft YaHei"/>
          <w:b/>
          <w:color w:val="000000"/>
          <w:sz w:val="16"/>
        </w:rPr>
        <w:t xml:space="preserve">  /  安睿克  ·  现场安全工具</w:t>
      </w:r>
    </w:p>
    <w:p>
      <w:pPr>
        <w:widowControl/>
        <w:spacing w:before="0" w:after="0"/>
      </w:pPr>
      <w:r>
        <w:rPr>
          <w:rFonts w:ascii="Microsoft YaHei" w:hAnsi="Microsoft YaHei" w:eastAsia="Microsoft YaHei"/>
          <w:b/>
          <w:color w:val="000000"/>
          <w:sz w:val="13"/>
        </w:rPr>
        <w:t>OPERATOR SAFETY QUICK CARD · A4 DUPLEX</w:t>
      </w:r>
    </w:p>
    <w:p>
      <w:pPr>
        <w:pStyle w:val="Title"/>
        <w:keepNext/>
        <w:widowControl/>
        <w:spacing w:before="0" w:after="200"/>
      </w:pPr>
      <w:r>
        <w:rPr>
          <w:rFonts w:ascii="Microsoft YaHei" w:hAnsi="Microsoft YaHei" w:eastAsia="Microsoft YaHei"/>
          <w:b/>
          <w:color w:val="000000"/>
          <w:sz w:val="44"/>
          <w:u w:val="none"/>
        </w:rPr>
        <w:t>助力机械臂操作安全快速卡</w:t>
      </w:r>
    </w:p>
    <w:p>
      <w:pPr>
        <w:keepNext/>
        <w:spacing w:before="0" w:after="40"/>
        <w:widowControl/>
      </w:pPr>
      <w:r>
        <w:rPr>
          <w:rFonts w:ascii="Microsoft YaHei" w:hAnsi="Microsoft YaHei" w:eastAsia="Microsoft YaHei"/>
          <w:i/>
          <w:color w:val="000000"/>
          <w:sz w:val="16"/>
        </w:rPr>
        <w:t>班前检查 · 标准八步 · 异常处置 · 停机交接（A4 双面）</w:t>
      </w:r>
    </w:p>
    <w:tbl>
      <w:tblPr>
        <w:tblW w:type="dxa" w:w="10466"/>
        <w:jc w:val="left"/>
        <w:tblLayout w:type="fixed"/>
        <w:tblLook w:firstColumn="1" w:firstRow="1" w:lastColumn="0" w:lastRow="0" w:noHBand="0" w:noVBand="1" w:val="04A0"/>
        <w:tblInd w:type="dxa" w:w="12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500"/>
        <w:gridCol w:w="3733"/>
        <w:gridCol w:w="1500"/>
        <w:gridCol w:w="3733"/>
      </w:tblGrid>
      <w:tr>
        <w:trPr>
          <w:tblHeader/>
          <w:cantSplit/>
        </w:trPr>
        <w:tc>
          <w:tcPr>
            <w:tcW w:type="dxa" w:w="1500"/>
            <w:shd w:fill="0E3B8C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Next/>
              <w:keepLines/>
              <w:widowControl/>
              <w:spacing w:before="0" w:after="0" w:line="252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FFFFFF"/>
                <w:sz w:val="14"/>
              </w:rPr>
              <w:t>文件控制</w:t>
            </w:r>
          </w:p>
        </w:tc>
        <w:tc>
          <w:tcPr>
            <w:tcW w:type="dxa" w:w="3733"/>
            <w:shd w:fill="0E3B8C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Next/>
              <w:keepLines/>
              <w:widowControl/>
              <w:spacing w:before="0" w:after="0" w:line="252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FFFFFF"/>
                <w:sz w:val="14"/>
              </w:rPr>
              <w:t>内容</w:t>
            </w:r>
          </w:p>
        </w:tc>
        <w:tc>
          <w:tcPr>
            <w:tcW w:type="dxa" w:w="1500"/>
            <w:shd w:fill="0E3B8C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Next/>
              <w:keepLines/>
              <w:widowControl/>
              <w:spacing w:before="0" w:after="0" w:line="252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FFFFFF"/>
                <w:sz w:val="14"/>
              </w:rPr>
              <w:t>现场信息</w:t>
            </w:r>
          </w:p>
        </w:tc>
        <w:tc>
          <w:tcPr>
            <w:tcW w:type="dxa" w:w="3733"/>
            <w:shd w:fill="0E3B8C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Next/>
              <w:keepLines/>
              <w:widowControl/>
              <w:spacing w:before="0" w:after="0" w:line="252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FFFFFF"/>
                <w:sz w:val="14"/>
              </w:rPr>
              <w:t>填写</w:t>
            </w:r>
          </w:p>
        </w:tc>
      </w:tr>
      <w:tr>
        <w:trPr>
          <w:cantSplit/>
        </w:trPr>
        <w:tc>
          <w:tcPr>
            <w:tcW w:type="dxa" w:w="150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4"/>
              </w:rPr>
              <w:t>文件编号</w:t>
            </w:r>
          </w:p>
        </w:tc>
        <w:tc>
          <w:tcPr>
            <w:tcW w:type="dxa" w:w="3733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4"/>
              </w:rPr>
              <w:t>AUREK-HSE-QC-001</w:t>
            </w:r>
          </w:p>
        </w:tc>
        <w:tc>
          <w:tcPr>
            <w:tcW w:type="dxa" w:w="150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4"/>
              </w:rPr>
              <w:t>设备 / 工位</w:t>
            </w:r>
          </w:p>
        </w:tc>
        <w:tc>
          <w:tcPr>
            <w:tcW w:type="dxa" w:w="3733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50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4"/>
              </w:rPr>
              <w:t>版本 / 日期</w:t>
            </w:r>
          </w:p>
        </w:tc>
        <w:tc>
          <w:tcPr>
            <w:tcW w:type="dxa" w:w="3733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4"/>
              </w:rPr>
              <w:t>V1.0 / 2026-08-15</w:t>
            </w:r>
          </w:p>
        </w:tc>
        <w:tc>
          <w:tcPr>
            <w:tcW w:type="dxa" w:w="150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4"/>
              </w:rPr>
              <w:t>班次 / 操作者</w:t>
            </w:r>
          </w:p>
        </w:tc>
        <w:tc>
          <w:tcPr>
            <w:tcW w:type="dxa" w:w="3733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4"/>
              </w:rPr>
              <w:t xml:space="preserve"> </w:t>
            </w:r>
          </w:p>
        </w:tc>
      </w:tr>
    </w:tbl>
    <w:p>
      <w:pPr>
        <w:widowControl/>
        <w:spacing w:before="0" w:after="40"/>
      </w:pPr>
    </w:p>
    <w:tbl>
      <w:tblPr>
        <w:tblW w:type="dxa" w:w="10466"/>
        <w:jc w:val="left"/>
        <w:tblLayout w:type="fixed"/>
        <w:tblLook w:firstColumn="1" w:firstRow="1" w:lastColumn="0" w:lastRow="0" w:noHBand="0" w:noVBand="1" w:val="04A0"/>
        <w:tblInd w:type="dxa" w:w="12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466"/>
      </w:tblGrid>
      <w:tr>
        <w:trPr>
          <w:tblHeader/>
          <w:cantSplit/>
        </w:trPr>
        <w:tc>
          <w:tcPr>
            <w:tcW w:type="dxa" w:w="10466"/>
            <w:shd w:fill="FFD000" w:val="clear"/>
            <w:tcBorders>
              <w:top w:val="single" w:sz="10" w:space="0" w:color="0E3B8C"/>
              <w:left w:val="single" w:sz="10" w:space="0" w:color="0E3B8C"/>
              <w:bottom w:val="single" w:sz="10" w:space="0" w:color="0E3B8C"/>
              <w:right w:val="single" w:sz="10" w:space="0" w:color="0E3B8C"/>
              <w:insideH w:val="single" w:sz="10" w:space="0" w:color="0E3B8C"/>
              <w:insideV w:val="single" w:sz="10" w:space="0" w:color="0E3B8C"/>
            </w:tcBorders>
            <w:vAlign w:val="center"/>
            <w:tcMar>
              <w:top w:type="dxa" w:w="80"/>
              <w:bottom w:type="dxa" w:w="80"/>
              <w:start w:type="dxa" w:w="120"/>
              <w:end w:type="dxa" w:w="120"/>
            </w:tcMar>
          </w:tcPr>
          <w:p>
            <w:pPr>
              <w:keepNext/>
              <w:keepLines/>
              <w:widowControl/>
              <w:spacing w:before="20" w:after="2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6"/>
              </w:rPr>
              <w:t xml:space="preserve"> </w:t>
            </w:r>
            <w:r>
              <w:rPr>
                <w:rFonts w:ascii="Microsoft YaHei" w:hAnsi="Microsoft YaHei" w:eastAsia="Microsoft YaHei"/>
                <w:b/>
                <w:color w:val="0C1014"/>
                <w:sz w:val="16"/>
              </w:rPr>
              <w:t xml:space="preserve">核心原则  </w:t>
            </w:r>
            <w:r>
              <w:rPr>
                <w:rFonts w:ascii="Microsoft YaHei" w:hAnsi="Microsoft YaHei" w:eastAsia="Microsoft YaHei"/>
                <w:color w:val="0C1014"/>
                <w:sz w:val="16"/>
              </w:rPr>
              <w:t>先停人、再稳载、后停机。任何危及人身、设备或产品安全的异常，立即执行本项目急停 / 停机程序；人员不得进入负载下方或摆动范围。</w:t>
            </w:r>
          </w:p>
        </w:tc>
      </w:tr>
    </w:tbl>
    <w:p>
      <w:pPr>
        <w:widowControl/>
        <w:spacing w:after="20"/>
      </w:pPr>
    </w:p>
    <w:p>
      <w:pPr>
        <w:widowControl/>
        <w:spacing w:before="0" w:after="40"/>
      </w:pPr>
      <w:r>
        <w:rPr>
          <w:rFonts w:ascii="Microsoft YaHei" w:hAnsi="Microsoft YaHei" w:eastAsia="Microsoft YaHei"/>
          <w:b/>
          <w:color w:val="000000"/>
          <w:sz w:val="15"/>
        </w:rPr>
        <w:t>适用说明：</w:t>
      </w:r>
      <w:r>
        <w:rPr>
          <w:rFonts w:ascii="Microsoft YaHei" w:hAnsi="Microsoft YaHei" w:eastAsia="Microsoft YaHei"/>
          <w:color w:val="000000"/>
          <w:sz w:val="15"/>
        </w:rPr>
        <w:t>本卡仅提供通用提醒；按钮名称、互锁、失气保护和释放逻辑因项目而异，必须以设备铭牌、专用说明书、现场风险评估和培训要求为准。</w:t>
      </w:r>
    </w:p>
    <w:p>
      <w:pPr>
        <w:pStyle w:val="Heading1"/>
        <w:widowControl/>
        <w:ind w:left="110" w:right="40"/>
      </w:pPr>
      <w:r>
        <w:rPr>
          <w:color w:val="000000"/>
          <w:u w:val="none"/>
        </w:rPr>
        <w:t>01  |  开机前 - 六项必须确认</w:t>
      </w:r>
    </w:p>
    <w:tbl>
      <w:tblPr>
        <w:tblW w:type="dxa" w:w="10466"/>
        <w:jc w:val="left"/>
        <w:tblLayout w:type="fixed"/>
        <w:tblLook w:firstColumn="1" w:firstRow="1" w:lastColumn="0" w:lastRow="0" w:noHBand="0" w:noVBand="1" w:val="04A0"/>
        <w:tblInd w:type="dxa" w:w="12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650"/>
        <w:gridCol w:w="2100"/>
        <w:gridCol w:w="7716"/>
      </w:tblGrid>
      <w:tr>
        <w:trPr>
          <w:tblHeader/>
          <w:cantSplit/>
        </w:trPr>
        <w:tc>
          <w:tcPr>
            <w:tcW w:type="dxa" w:w="650"/>
            <w:shd w:fill="0E3B8C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Next/>
              <w:keepLines/>
              <w:widowControl/>
              <w:spacing w:before="0" w:after="0" w:line="252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FFFFFF"/>
                <w:sz w:val="15"/>
              </w:rPr>
              <w:t>确认</w:t>
            </w:r>
          </w:p>
        </w:tc>
        <w:tc>
          <w:tcPr>
            <w:tcW w:type="dxa" w:w="2100"/>
            <w:shd w:fill="0E3B8C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Next/>
              <w:keepLines/>
              <w:widowControl/>
              <w:spacing w:before="0" w:after="0" w:line="252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FFFFFF"/>
                <w:sz w:val="15"/>
              </w:rPr>
              <w:t>检查项</w:t>
            </w:r>
          </w:p>
        </w:tc>
        <w:tc>
          <w:tcPr>
            <w:tcW w:type="dxa" w:w="7716"/>
            <w:shd w:fill="0E3B8C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Next/>
              <w:keepLines/>
              <w:widowControl/>
              <w:spacing w:before="0" w:after="0" w:line="252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FFFFFF"/>
                <w:sz w:val="15"/>
              </w:rPr>
              <w:t>合格判定</w:t>
            </w:r>
          </w:p>
        </w:tc>
      </w:tr>
      <w:tr>
        <w:trPr>
          <w:cantSplit/>
        </w:trPr>
        <w:tc>
          <w:tcPr>
            <w:tcW w:type="dxa" w:w="65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5"/>
              </w:rPr>
              <w:t>□</w:t>
            </w:r>
          </w:p>
        </w:tc>
        <w:tc>
          <w:tcPr>
            <w:tcW w:type="dxa" w:w="210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5"/>
              </w:rPr>
              <w:t>人员 / 工况</w:t>
            </w:r>
          </w:p>
        </w:tc>
        <w:tc>
          <w:tcPr>
            <w:tcW w:type="dxa" w:w="7716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5"/>
              </w:rPr>
              <w:t>本人已培训授权；工件型号、重量与设备额定工况匹配</w:t>
            </w:r>
          </w:p>
        </w:tc>
      </w:tr>
      <w:tr>
        <w:trPr>
          <w:cantSplit/>
        </w:trPr>
        <w:tc>
          <w:tcPr>
            <w:tcW w:type="dxa" w:w="65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5"/>
              </w:rPr>
              <w:t>□</w:t>
            </w:r>
          </w:p>
        </w:tc>
        <w:tc>
          <w:tcPr>
            <w:tcW w:type="dxa" w:w="210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5"/>
              </w:rPr>
              <w:t>气源 / 电源</w:t>
            </w:r>
          </w:p>
        </w:tc>
        <w:tc>
          <w:tcPr>
            <w:tcW w:type="dxa" w:w="7716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5"/>
              </w:rPr>
              <w:t>压力满足项目要求；压缩空气清洁干燥；无明显漏气 / 报警</w:t>
            </w:r>
          </w:p>
        </w:tc>
      </w:tr>
      <w:tr>
        <w:trPr>
          <w:cantSplit/>
        </w:trPr>
        <w:tc>
          <w:tcPr>
            <w:tcW w:type="dxa" w:w="65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5"/>
              </w:rPr>
              <w:t>□</w:t>
            </w:r>
          </w:p>
        </w:tc>
        <w:tc>
          <w:tcPr>
            <w:tcW w:type="dxa" w:w="210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5"/>
              </w:rPr>
              <w:t>承重连接</w:t>
            </w:r>
          </w:p>
        </w:tc>
        <w:tc>
          <w:tcPr>
            <w:tcW w:type="dxa" w:w="7716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5"/>
              </w:rPr>
              <w:t>底座、立柱、臂体、销轴、法兰、夹具无松动、裂纹、变形</w:t>
            </w:r>
          </w:p>
        </w:tc>
      </w:tr>
      <w:tr>
        <w:trPr>
          <w:cantSplit/>
        </w:trPr>
        <w:tc>
          <w:tcPr>
            <w:tcW w:type="dxa" w:w="65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5"/>
              </w:rPr>
              <w:t>□</w:t>
            </w:r>
          </w:p>
        </w:tc>
        <w:tc>
          <w:tcPr>
            <w:tcW w:type="dxa" w:w="210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5"/>
              </w:rPr>
              <w:t>气管 / 电缆</w:t>
            </w:r>
          </w:p>
        </w:tc>
        <w:tc>
          <w:tcPr>
            <w:tcW w:type="dxa" w:w="7716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5"/>
              </w:rPr>
              <w:t>无鼓胀、裂缝、扭结、磨损；与关节和行程无干涉</w:t>
            </w:r>
          </w:p>
        </w:tc>
      </w:tr>
      <w:tr>
        <w:trPr>
          <w:cantSplit/>
        </w:trPr>
        <w:tc>
          <w:tcPr>
            <w:tcW w:type="dxa" w:w="65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5"/>
              </w:rPr>
              <w:t>□</w:t>
            </w:r>
          </w:p>
        </w:tc>
        <w:tc>
          <w:tcPr>
            <w:tcW w:type="dxa" w:w="210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5"/>
              </w:rPr>
              <w:t>夹具 / 安全功能</w:t>
            </w:r>
          </w:p>
        </w:tc>
        <w:tc>
          <w:tcPr>
            <w:tcW w:type="dxa" w:w="7716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5"/>
              </w:rPr>
              <w:t>夹持面清洁；夹紧 / 真空、限位、制动、互锁按项目要求正常</w:t>
            </w:r>
          </w:p>
        </w:tc>
      </w:tr>
      <w:tr>
        <w:trPr>
          <w:cantSplit/>
        </w:trPr>
        <w:tc>
          <w:tcPr>
            <w:tcW w:type="dxa" w:w="65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5"/>
              </w:rPr>
              <w:t>□</w:t>
            </w:r>
          </w:p>
        </w:tc>
        <w:tc>
          <w:tcPr>
            <w:tcW w:type="dxa" w:w="210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5"/>
              </w:rPr>
              <w:t>作业区域</w:t>
            </w:r>
          </w:p>
        </w:tc>
        <w:tc>
          <w:tcPr>
            <w:tcW w:type="dxa" w:w="7716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5"/>
              </w:rPr>
              <w:t>路径无人员、障碍、未固定物；地面清洁，警示 / 隔离到位</w:t>
            </w:r>
          </w:p>
        </w:tc>
      </w:tr>
    </w:tbl>
    <w:p>
      <w:pPr>
        <w:widowControl/>
        <w:spacing w:before="0" w:after="40"/>
      </w:pPr>
    </w:p>
    <w:tbl>
      <w:tblPr>
        <w:tblW w:type="dxa" w:w="10466"/>
        <w:jc w:val="left"/>
        <w:tblLayout w:type="fixed"/>
        <w:tblLook w:firstColumn="1" w:firstRow="1" w:lastColumn="0" w:lastRow="0" w:noHBand="0" w:noVBand="1" w:val="04A0"/>
        <w:tblInd w:type="dxa" w:w="12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466"/>
      </w:tblGrid>
      <w:tr>
        <w:trPr>
          <w:tblHeader/>
          <w:cantSplit/>
        </w:trPr>
        <w:tc>
          <w:tcPr>
            <w:tcW w:type="dxa" w:w="10466"/>
            <w:shd w:fill="EAF0F8" w:val="clear"/>
            <w:tcBorders>
              <w:top w:val="single" w:sz="10" w:space="0" w:color="0E3B8C"/>
              <w:left w:val="single" w:sz="10" w:space="0" w:color="0E3B8C"/>
              <w:bottom w:val="single" w:sz="10" w:space="0" w:color="0E3B8C"/>
              <w:right w:val="single" w:sz="10" w:space="0" w:color="0E3B8C"/>
              <w:insideH w:val="single" w:sz="10" w:space="0" w:color="0E3B8C"/>
              <w:insideV w:val="single" w:sz="10" w:space="0" w:color="0E3B8C"/>
            </w:tcBorders>
            <w:vAlign w:val="center"/>
            <w:tcMar>
              <w:top w:type="dxa" w:w="80"/>
              <w:bottom w:type="dxa" w:w="80"/>
              <w:start w:type="dxa" w:w="120"/>
              <w:end w:type="dxa" w:w="120"/>
            </w:tcMar>
          </w:tcPr>
          <w:p>
            <w:pPr>
              <w:keepNext/>
              <w:keepLines/>
              <w:widowControl/>
              <w:spacing w:before="20" w:after="2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5"/>
              </w:rPr>
              <w:t xml:space="preserve"> </w:t>
            </w:r>
            <w:r>
              <w:rPr>
                <w:rFonts w:ascii="Microsoft YaHei" w:hAnsi="Microsoft YaHei" w:eastAsia="Microsoft YaHei"/>
                <w:b/>
                <w:color w:val="0C1014"/>
                <w:sz w:val="15"/>
              </w:rPr>
              <w:t xml:space="preserve">不合格即停用  </w:t>
            </w:r>
            <w:r>
              <w:rPr>
                <w:rFonts w:ascii="Microsoft YaHei" w:hAnsi="Microsoft YaHei" w:eastAsia="Microsoft YaHei"/>
                <w:color w:val="0C1014"/>
                <w:sz w:val="15"/>
              </w:rPr>
              <w:t>发现异响、漏气、气压不足、动作迟缓 / 卡滞、异常上浮 / 下沉 / 漂移、夹具松动、焊缝裂纹或刹车失灵时，不得带故障运行。</w:t>
            </w:r>
          </w:p>
        </w:tc>
      </w:tr>
    </w:tbl>
    <w:p>
      <w:pPr>
        <w:widowControl/>
        <w:spacing w:after="20"/>
      </w:pPr>
    </w:p>
    <w:p>
      <w:pPr>
        <w:pStyle w:val="Heading1"/>
        <w:widowControl/>
        <w:ind w:left="110" w:right="40"/>
      </w:pPr>
      <w:r>
        <w:rPr>
          <w:color w:val="000000"/>
          <w:u w:val="none"/>
        </w:rPr>
        <w:t>02  |  标准操作八步</w:t>
      </w:r>
    </w:p>
    <w:tbl>
      <w:tblPr>
        <w:tblW w:type="dxa" w:w="10466"/>
        <w:jc w:val="left"/>
        <w:tblLayout w:type="fixed"/>
        <w:tblLook w:firstColumn="1" w:firstRow="1" w:lastColumn="0" w:lastRow="0" w:noHBand="0" w:noVBand="1" w:val="04A0"/>
        <w:tblInd w:type="dxa" w:w="12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650"/>
        <w:gridCol w:w="2250"/>
        <w:gridCol w:w="7566"/>
      </w:tblGrid>
      <w:tr>
        <w:trPr>
          <w:tblHeader/>
          <w:cantSplit/>
        </w:trPr>
        <w:tc>
          <w:tcPr>
            <w:tcW w:type="dxa" w:w="650"/>
            <w:shd w:fill="0E3B8C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Next/>
              <w:keepLines/>
              <w:widowControl/>
              <w:spacing w:before="0" w:after="0" w:line="252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FFFFFF"/>
                <w:sz w:val="15"/>
              </w:rPr>
              <w:t>步骤</w:t>
            </w:r>
          </w:p>
        </w:tc>
        <w:tc>
          <w:tcPr>
            <w:tcW w:type="dxa" w:w="2250"/>
            <w:shd w:fill="0E3B8C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Next/>
              <w:keepLines/>
              <w:widowControl/>
              <w:spacing w:before="0" w:after="0" w:line="252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FFFFFF"/>
                <w:sz w:val="15"/>
              </w:rPr>
              <w:t>动作</w:t>
            </w:r>
          </w:p>
        </w:tc>
        <w:tc>
          <w:tcPr>
            <w:tcW w:type="dxa" w:w="7566"/>
            <w:shd w:fill="0E3B8C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Next/>
              <w:keepLines/>
              <w:widowControl/>
              <w:spacing w:before="0" w:after="0" w:line="252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FFFFFF"/>
                <w:sz w:val="15"/>
              </w:rPr>
              <w:t>必须确认</w:t>
            </w:r>
          </w:p>
        </w:tc>
      </w:tr>
      <w:tr>
        <w:trPr>
          <w:cantSplit/>
        </w:trPr>
        <w:tc>
          <w:tcPr>
            <w:tcW w:type="dxa" w:w="65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5"/>
              </w:rPr>
              <w:t>1</w:t>
            </w:r>
          </w:p>
        </w:tc>
        <w:tc>
          <w:tcPr>
            <w:tcW w:type="dxa" w:w="225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5"/>
              </w:rPr>
              <w:t>确认工况</w:t>
            </w:r>
          </w:p>
        </w:tc>
        <w:tc>
          <w:tcPr>
            <w:tcW w:type="dxa" w:w="7566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5"/>
              </w:rPr>
              <w:t>核对工件、重量、夹具模式、路径和人员站位</w:t>
            </w:r>
          </w:p>
        </w:tc>
      </w:tr>
      <w:tr>
        <w:trPr>
          <w:cantSplit/>
        </w:trPr>
        <w:tc>
          <w:tcPr>
            <w:tcW w:type="dxa" w:w="65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5"/>
              </w:rPr>
              <w:t>2</w:t>
            </w:r>
          </w:p>
        </w:tc>
        <w:tc>
          <w:tcPr>
            <w:tcW w:type="dxa" w:w="225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5"/>
              </w:rPr>
              <w:t>缓慢供能</w:t>
            </w:r>
          </w:p>
        </w:tc>
        <w:tc>
          <w:tcPr>
            <w:tcW w:type="dxa" w:w="7566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5"/>
              </w:rPr>
              <w:t>缓慢打开气源 / 按项目要求上电；压力 / 指示正常，无漏气</w:t>
            </w:r>
          </w:p>
        </w:tc>
      </w:tr>
      <w:tr>
        <w:trPr>
          <w:cantSplit/>
        </w:trPr>
        <w:tc>
          <w:tcPr>
            <w:tcW w:type="dxa" w:w="65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5"/>
              </w:rPr>
              <w:t>3</w:t>
            </w:r>
          </w:p>
        </w:tc>
        <w:tc>
          <w:tcPr>
            <w:tcW w:type="dxa" w:w="225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5"/>
              </w:rPr>
              <w:t>空载试动</w:t>
            </w:r>
          </w:p>
        </w:tc>
        <w:tc>
          <w:tcPr>
            <w:tcW w:type="dxa" w:w="7566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5"/>
              </w:rPr>
              <w:t>升降、回转、制动、限位、互锁动作平稳；异常立即停机</w:t>
            </w:r>
          </w:p>
        </w:tc>
      </w:tr>
      <w:tr>
        <w:trPr>
          <w:cantSplit/>
        </w:trPr>
        <w:tc>
          <w:tcPr>
            <w:tcW w:type="dxa" w:w="65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5"/>
              </w:rPr>
              <w:t>4</w:t>
            </w:r>
          </w:p>
        </w:tc>
        <w:tc>
          <w:tcPr>
            <w:tcW w:type="dxa" w:w="225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5"/>
              </w:rPr>
              <w:t>对准取料</w:t>
            </w:r>
          </w:p>
        </w:tc>
        <w:tc>
          <w:tcPr>
            <w:tcW w:type="dxa" w:w="7566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5"/>
              </w:rPr>
              <w:t>空载移至取料点；夹具与允许抓取区域正确接触，避开夹点</w:t>
            </w:r>
          </w:p>
        </w:tc>
      </w:tr>
      <w:tr>
        <w:trPr>
          <w:cantSplit/>
        </w:trPr>
        <w:tc>
          <w:tcPr>
            <w:tcW w:type="dxa" w:w="65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5"/>
              </w:rPr>
              <w:t>5</w:t>
            </w:r>
          </w:p>
        </w:tc>
        <w:tc>
          <w:tcPr>
            <w:tcW w:type="dxa" w:w="225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5"/>
              </w:rPr>
              <w:t>夹取确认</w:t>
            </w:r>
          </w:p>
        </w:tc>
        <w:tc>
          <w:tcPr>
            <w:tcW w:type="dxa" w:w="7566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5"/>
              </w:rPr>
              <w:t>夹紧 / 真空 / 定位到位信号正常；轻微试提确认工件稳定</w:t>
            </w:r>
          </w:p>
        </w:tc>
      </w:tr>
      <w:tr>
        <w:trPr>
          <w:cantSplit/>
        </w:trPr>
        <w:tc>
          <w:tcPr>
            <w:tcW w:type="dxa" w:w="65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5"/>
              </w:rPr>
              <w:t>6</w:t>
            </w:r>
          </w:p>
        </w:tc>
        <w:tc>
          <w:tcPr>
            <w:tcW w:type="dxa" w:w="225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5"/>
              </w:rPr>
              <w:t>加载搬运</w:t>
            </w:r>
          </w:p>
        </w:tc>
        <w:tc>
          <w:tcPr>
            <w:tcW w:type="dxa" w:w="7566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5"/>
              </w:rPr>
              <w:t>切换负载状态；平稳升降、转向 / 翻转；始终注视工件</w:t>
            </w:r>
          </w:p>
        </w:tc>
      </w:tr>
      <w:tr>
        <w:trPr>
          <w:cantSplit/>
        </w:trPr>
        <w:tc>
          <w:tcPr>
            <w:tcW w:type="dxa" w:w="65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5"/>
              </w:rPr>
              <w:t>7</w:t>
            </w:r>
          </w:p>
        </w:tc>
        <w:tc>
          <w:tcPr>
            <w:tcW w:type="dxa" w:w="225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5"/>
              </w:rPr>
              <w:t>落位释放</w:t>
            </w:r>
          </w:p>
        </w:tc>
        <w:tc>
          <w:tcPr>
            <w:tcW w:type="dxa" w:w="7566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5"/>
              </w:rPr>
              <w:t>工件完全落稳并解除负载后，方可释放夹具</w:t>
            </w:r>
          </w:p>
        </w:tc>
      </w:tr>
      <w:tr>
        <w:trPr>
          <w:cantSplit/>
        </w:trPr>
        <w:tc>
          <w:tcPr>
            <w:tcW w:type="dxa" w:w="65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5"/>
              </w:rPr>
              <w:t>8</w:t>
            </w:r>
          </w:p>
        </w:tc>
        <w:tc>
          <w:tcPr>
            <w:tcW w:type="dxa" w:w="225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5"/>
              </w:rPr>
              <w:t>空载返回</w:t>
            </w:r>
          </w:p>
        </w:tc>
        <w:tc>
          <w:tcPr>
            <w:tcW w:type="dxa" w:w="7566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5"/>
              </w:rPr>
              <w:t>确认工件安全；夹具空载返回 / 停放，按停机交接流程结束</w:t>
            </w:r>
          </w:p>
        </w:tc>
      </w:tr>
    </w:tbl>
    <w:p>
      <w:pPr>
        <w:widowControl/>
        <w:spacing w:before="0" w:after="40"/>
      </w:pPr>
    </w:p>
    <w:p>
      <w:pPr>
        <w:widowControl/>
      </w:pPr>
      <w:r>
        <w:br w:type="page"/>
      </w:r>
    </w:p>
    <w:p>
      <w:pPr>
        <w:pStyle w:val="Heading1"/>
        <w:widowControl/>
        <w:ind w:left="110" w:right="40"/>
      </w:pPr>
      <w:r>
        <w:rPr>
          <w:color w:val="000000"/>
          <w:u w:val="none"/>
        </w:rPr>
        <w:t>03  |  十项禁止 / 不允许</w:t>
      </w:r>
    </w:p>
    <w:tbl>
      <w:tblPr>
        <w:tblW w:type="dxa" w:w="10466"/>
        <w:jc w:val="left"/>
        <w:tblLayout w:type="fixed"/>
        <w:tblLook w:firstColumn="1" w:firstRow="1" w:lastColumn="0" w:lastRow="0" w:noHBand="0" w:noVBand="1" w:val="04A0"/>
        <w:tblInd w:type="dxa" w:w="12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650"/>
        <w:gridCol w:w="4583"/>
        <w:gridCol w:w="650"/>
        <w:gridCol w:w="4583"/>
      </w:tblGrid>
      <w:tr>
        <w:trPr>
          <w:tblHeader/>
          <w:cantSplit/>
        </w:trPr>
        <w:tc>
          <w:tcPr>
            <w:tcW w:type="dxa" w:w="650"/>
            <w:shd w:fill="0E3B8C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Next/>
              <w:keepLines/>
              <w:widowControl/>
              <w:spacing w:before="0" w:after="0" w:line="252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FFFFFF"/>
                <w:sz w:val="14"/>
              </w:rPr>
              <w:t>编号</w:t>
            </w:r>
          </w:p>
        </w:tc>
        <w:tc>
          <w:tcPr>
            <w:tcW w:type="dxa" w:w="4583"/>
            <w:shd w:fill="0E3B8C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Next/>
              <w:keepLines/>
              <w:widowControl/>
              <w:spacing w:before="0" w:after="0" w:line="252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FFFFFF"/>
                <w:sz w:val="14"/>
              </w:rPr>
              <w:t>禁止事项</w:t>
            </w:r>
          </w:p>
        </w:tc>
        <w:tc>
          <w:tcPr>
            <w:tcW w:type="dxa" w:w="650"/>
            <w:shd w:fill="0E3B8C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Next/>
              <w:keepLines/>
              <w:widowControl/>
              <w:spacing w:before="0" w:after="0" w:line="252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FFFFFF"/>
                <w:sz w:val="14"/>
              </w:rPr>
              <w:t>编号</w:t>
            </w:r>
          </w:p>
        </w:tc>
        <w:tc>
          <w:tcPr>
            <w:tcW w:type="dxa" w:w="4583"/>
            <w:shd w:fill="0E3B8C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Next/>
              <w:keepLines/>
              <w:widowControl/>
              <w:spacing w:before="0" w:after="0" w:line="252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FFFFFF"/>
                <w:sz w:val="14"/>
              </w:rPr>
              <w:t>禁止事项</w:t>
            </w:r>
          </w:p>
        </w:tc>
      </w:tr>
      <w:tr>
        <w:trPr>
          <w:cantSplit/>
        </w:trPr>
        <w:tc>
          <w:tcPr>
            <w:tcW w:type="dxa" w:w="65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4"/>
              </w:rPr>
              <w:t>01</w:t>
            </w:r>
          </w:p>
        </w:tc>
        <w:tc>
          <w:tcPr>
            <w:tcW w:type="dxa" w:w="4583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4"/>
              </w:rPr>
              <w:t>禁止超载或搬运未经确认的工件</w:t>
            </w:r>
          </w:p>
        </w:tc>
        <w:tc>
          <w:tcPr>
            <w:tcW w:type="dxa" w:w="65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4"/>
              </w:rPr>
              <w:t>06</w:t>
            </w:r>
          </w:p>
        </w:tc>
        <w:tc>
          <w:tcPr>
            <w:tcW w:type="dxa" w:w="4583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4"/>
              </w:rPr>
              <w:t>禁止剧烈摆动、猛拉猛放、急停急转</w:t>
            </w:r>
          </w:p>
        </w:tc>
      </w:tr>
      <w:tr>
        <w:trPr>
          <w:cantSplit/>
        </w:trPr>
        <w:tc>
          <w:tcPr>
            <w:tcW w:type="dxa" w:w="65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4"/>
              </w:rPr>
              <w:t>02</w:t>
            </w:r>
          </w:p>
        </w:tc>
        <w:tc>
          <w:tcPr>
            <w:tcW w:type="dxa" w:w="4583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4"/>
              </w:rPr>
              <w:t>禁止人员站立 / 穿行于负载下方及摆动区</w:t>
            </w:r>
          </w:p>
        </w:tc>
        <w:tc>
          <w:tcPr>
            <w:tcW w:type="dxa" w:w="65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4"/>
              </w:rPr>
              <w:t>07</w:t>
            </w:r>
          </w:p>
        </w:tc>
        <w:tc>
          <w:tcPr>
            <w:tcW w:type="dxa" w:w="4583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4"/>
              </w:rPr>
              <w:t>禁止擅改气路、阀组、限位、刹车或夹具结构</w:t>
            </w:r>
          </w:p>
        </w:tc>
      </w:tr>
      <w:tr>
        <w:trPr>
          <w:cantSplit/>
        </w:trPr>
        <w:tc>
          <w:tcPr>
            <w:tcW w:type="dxa" w:w="65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4"/>
              </w:rPr>
              <w:t>03</w:t>
            </w:r>
          </w:p>
        </w:tc>
        <w:tc>
          <w:tcPr>
            <w:tcW w:type="dxa" w:w="4583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4"/>
              </w:rPr>
              <w:t>禁止负载悬空无人看管</w:t>
            </w:r>
          </w:p>
        </w:tc>
        <w:tc>
          <w:tcPr>
            <w:tcW w:type="dxa" w:w="65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4"/>
              </w:rPr>
              <w:t>08</w:t>
            </w:r>
          </w:p>
        </w:tc>
        <w:tc>
          <w:tcPr>
            <w:tcW w:type="dxa" w:w="4583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4"/>
              </w:rPr>
              <w:t>禁止带异响、漏气、漂移、卡滞等故障运行</w:t>
            </w:r>
          </w:p>
        </w:tc>
      </w:tr>
      <w:tr>
        <w:trPr>
          <w:cantSplit/>
        </w:trPr>
        <w:tc>
          <w:tcPr>
            <w:tcW w:type="dxa" w:w="65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4"/>
              </w:rPr>
              <w:t>04</w:t>
            </w:r>
          </w:p>
        </w:tc>
        <w:tc>
          <w:tcPr>
            <w:tcW w:type="dxa" w:w="4583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4"/>
              </w:rPr>
              <w:t>禁止未确认夹紧 / 真空到位即移动</w:t>
            </w:r>
          </w:p>
        </w:tc>
        <w:tc>
          <w:tcPr>
            <w:tcW w:type="dxa" w:w="65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4"/>
              </w:rPr>
              <w:t>09</w:t>
            </w:r>
          </w:p>
        </w:tc>
        <w:tc>
          <w:tcPr>
            <w:tcW w:type="dxa" w:w="4583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4"/>
              </w:rPr>
              <w:t>禁止工件未落稳 / 未卸载即停机断气</w:t>
            </w:r>
          </w:p>
        </w:tc>
      </w:tr>
      <w:tr>
        <w:trPr>
          <w:cantSplit/>
        </w:trPr>
        <w:tc>
          <w:tcPr>
            <w:tcW w:type="dxa" w:w="65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4"/>
              </w:rPr>
              <w:t>05</w:t>
            </w:r>
          </w:p>
        </w:tc>
        <w:tc>
          <w:tcPr>
            <w:tcW w:type="dxa" w:w="4583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4"/>
              </w:rPr>
              <w:t>禁止拖拽卡住的工件、敲击或冲击悬挂负载</w:t>
            </w:r>
          </w:p>
        </w:tc>
        <w:tc>
          <w:tcPr>
            <w:tcW w:type="dxa" w:w="65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4"/>
              </w:rPr>
              <w:t>10</w:t>
            </w:r>
          </w:p>
        </w:tc>
        <w:tc>
          <w:tcPr>
            <w:tcW w:type="dxa" w:w="4583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4"/>
              </w:rPr>
              <w:t>禁止未培训、未授权人员操作</w:t>
            </w:r>
          </w:p>
        </w:tc>
      </w:tr>
    </w:tbl>
    <w:p>
      <w:pPr>
        <w:widowControl/>
        <w:spacing w:before="0" w:after="40"/>
      </w:pPr>
    </w:p>
    <w:p>
      <w:pPr>
        <w:pStyle w:val="Heading1"/>
        <w:widowControl/>
        <w:ind w:left="110" w:right="40"/>
      </w:pPr>
      <w:r>
        <w:rPr>
          <w:color w:val="000000"/>
          <w:u w:val="none"/>
        </w:rPr>
        <w:t>04  |  断气 / 下沉漂移 / 卡滞 - 异常处置</w:t>
      </w:r>
    </w:p>
    <w:tbl>
      <w:tblPr>
        <w:tblW w:type="dxa" w:w="10466"/>
        <w:jc w:val="left"/>
        <w:tblLayout w:type="fixed"/>
        <w:tblLook w:firstColumn="1" w:firstRow="1" w:lastColumn="0" w:lastRow="0" w:noHBand="0" w:noVBand="1" w:val="04A0"/>
        <w:tblInd w:type="dxa" w:w="12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466"/>
      </w:tblGrid>
      <w:tr>
        <w:trPr>
          <w:tblHeader/>
          <w:cantSplit/>
        </w:trPr>
        <w:tc>
          <w:tcPr>
            <w:tcW w:type="dxa" w:w="10466"/>
            <w:shd w:fill="FFD000" w:val="clear"/>
            <w:tcBorders>
              <w:top w:val="single" w:sz="10" w:space="0" w:color="0E3B8C"/>
              <w:left w:val="single" w:sz="10" w:space="0" w:color="0E3B8C"/>
              <w:bottom w:val="single" w:sz="10" w:space="0" w:color="0E3B8C"/>
              <w:right w:val="single" w:sz="10" w:space="0" w:color="0E3B8C"/>
              <w:insideH w:val="single" w:sz="10" w:space="0" w:color="0E3B8C"/>
              <w:insideV w:val="single" w:sz="10" w:space="0" w:color="0E3B8C"/>
            </w:tcBorders>
            <w:vAlign w:val="center"/>
            <w:tcMar>
              <w:top w:type="dxa" w:w="80"/>
              <w:bottom w:type="dxa" w:w="80"/>
              <w:start w:type="dxa" w:w="120"/>
              <w:end w:type="dxa" w:w="120"/>
            </w:tcMar>
          </w:tcPr>
          <w:p>
            <w:pPr>
              <w:keepNext/>
              <w:keepLines/>
              <w:widowControl/>
              <w:spacing w:before="20" w:after="2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5"/>
              </w:rPr>
              <w:t xml:space="preserve"> </w:t>
            </w:r>
            <w:r>
              <w:rPr>
                <w:rFonts w:ascii="Microsoft YaHei" w:hAnsi="Microsoft YaHei" w:eastAsia="Microsoft YaHei"/>
                <w:b/>
                <w:color w:val="0C1014"/>
                <w:sz w:val="15"/>
              </w:rPr>
              <w:t xml:space="preserve">统一动作  </w:t>
            </w:r>
            <w:r>
              <w:rPr>
                <w:rFonts w:ascii="Microsoft YaHei" w:hAnsi="Microsoft YaHei" w:eastAsia="Microsoft YaHei"/>
                <w:color w:val="0C1014"/>
                <w:sz w:val="15"/>
              </w:rPr>
              <w:t>立即提醒周边人员并隔离危险区；不钻入负载下方，不用手托住悬空工件，不强行复位或绕过互锁。仅在风险受控且符合本机专用程序时，将负载平稳放至最近可靠支承。</w:t>
            </w:r>
          </w:p>
        </w:tc>
      </w:tr>
    </w:tbl>
    <w:p>
      <w:pPr>
        <w:widowControl/>
        <w:spacing w:after="20"/>
      </w:pPr>
    </w:p>
    <w:tbl>
      <w:tblPr>
        <w:tblW w:type="dxa" w:w="10466"/>
        <w:jc w:val="left"/>
        <w:tblLayout w:type="fixed"/>
        <w:tblLook w:firstColumn="1" w:firstRow="1" w:lastColumn="0" w:lastRow="0" w:noHBand="0" w:noVBand="1" w:val="04A0"/>
        <w:tblInd w:type="dxa" w:w="12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100"/>
        <w:gridCol w:w="5000"/>
        <w:gridCol w:w="3366"/>
      </w:tblGrid>
      <w:tr>
        <w:trPr>
          <w:tblHeader/>
          <w:cantSplit/>
        </w:trPr>
        <w:tc>
          <w:tcPr>
            <w:tcW w:type="dxa" w:w="2100"/>
            <w:shd w:fill="0E3B8C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Next/>
              <w:keepLines/>
              <w:widowControl/>
              <w:spacing w:before="0" w:after="0" w:line="252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FFFFFF"/>
                <w:sz w:val="14"/>
              </w:rPr>
              <w:t>异常现象</w:t>
            </w:r>
          </w:p>
        </w:tc>
        <w:tc>
          <w:tcPr>
            <w:tcW w:type="dxa" w:w="5000"/>
            <w:shd w:fill="0E3B8C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Next/>
              <w:keepLines/>
              <w:widowControl/>
              <w:spacing w:before="0" w:after="0" w:line="252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FFFFFF"/>
                <w:sz w:val="14"/>
              </w:rPr>
              <w:t>立即处置</w:t>
            </w:r>
          </w:p>
        </w:tc>
        <w:tc>
          <w:tcPr>
            <w:tcW w:type="dxa" w:w="3366"/>
            <w:shd w:fill="0E3B8C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Next/>
              <w:keepLines/>
              <w:widowControl/>
              <w:spacing w:before="0" w:after="0" w:line="252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FFFFFF"/>
                <w:sz w:val="14"/>
              </w:rPr>
              <w:t>严禁</w:t>
            </w:r>
          </w:p>
        </w:tc>
      </w:tr>
      <w:tr>
        <w:trPr>
          <w:cantSplit/>
        </w:trPr>
        <w:tc>
          <w:tcPr>
            <w:tcW w:type="dxa" w:w="210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4"/>
              </w:rPr>
              <w:t>突然断气 / 压力快速下降</w:t>
            </w:r>
          </w:p>
        </w:tc>
        <w:tc>
          <w:tcPr>
            <w:tcW w:type="dxa" w:w="5000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4"/>
              </w:rPr>
              <w:t>远离负载下方并隔离；按本机失气程序安全落位；无法落位时呼叫专业人员。</w:t>
            </w:r>
          </w:p>
        </w:tc>
        <w:tc>
          <w:tcPr>
            <w:tcW w:type="dxa" w:w="3366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4"/>
              </w:rPr>
              <w:t>强行释放、进入负载下方、未确认安全即恢复供气</w:t>
            </w:r>
          </w:p>
        </w:tc>
      </w:tr>
      <w:tr>
        <w:trPr>
          <w:cantSplit/>
        </w:trPr>
        <w:tc>
          <w:tcPr>
            <w:tcW w:type="dxa" w:w="210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4"/>
              </w:rPr>
              <w:t>异常下沉 / 上浮 / 漂移</w:t>
            </w:r>
          </w:p>
        </w:tc>
        <w:tc>
          <w:tcPr>
            <w:tcW w:type="dxa" w:w="5000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4"/>
              </w:rPr>
              <w:t>减速并就近落稳；停机报告，核对工件重量、预设状态与供气。</w:t>
            </w:r>
          </w:p>
        </w:tc>
        <w:tc>
          <w:tcPr>
            <w:tcW w:type="dxa" w:w="3366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4"/>
              </w:rPr>
              <w:t>继续生产、私调关键阀组、徒手控制悬空负载</w:t>
            </w:r>
          </w:p>
        </w:tc>
      </w:tr>
      <w:tr>
        <w:trPr>
          <w:cantSplit/>
        </w:trPr>
        <w:tc>
          <w:tcPr>
            <w:tcW w:type="dxa" w:w="210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4"/>
              </w:rPr>
              <w:t>卡滞 / 无法移动 / 刹车不释放</w:t>
            </w:r>
          </w:p>
        </w:tc>
        <w:tc>
          <w:tcPr>
            <w:tcW w:type="dxa" w:w="5000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4"/>
              </w:rPr>
              <w:t>停止施力；可靠支承后停机隔离，由专业人员检查。</w:t>
            </w:r>
          </w:p>
        </w:tc>
        <w:tc>
          <w:tcPr>
            <w:tcW w:type="dxa" w:w="3366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4"/>
              </w:rPr>
              <w:t>猛拉猛推、敲击、拆卸承重件或安全部件</w:t>
            </w:r>
          </w:p>
        </w:tc>
      </w:tr>
      <w:tr>
        <w:trPr>
          <w:cantSplit/>
        </w:trPr>
        <w:tc>
          <w:tcPr>
            <w:tcW w:type="dxa" w:w="210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4"/>
              </w:rPr>
              <w:t>夹紧 / 真空异常或工件滑移</w:t>
            </w:r>
          </w:p>
        </w:tc>
        <w:tc>
          <w:tcPr>
            <w:tcW w:type="dxa" w:w="5000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4"/>
              </w:rPr>
              <w:t>停止转运、保持低位并平稳落位；隔离设备，记录报警 / 压力。</w:t>
            </w:r>
          </w:p>
        </w:tc>
        <w:tc>
          <w:tcPr>
            <w:tcW w:type="dxa" w:w="3366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4"/>
              </w:rPr>
              <w:t>手托悬空工件、绕过互锁、带故障运行</w:t>
            </w:r>
          </w:p>
        </w:tc>
      </w:tr>
    </w:tbl>
    <w:p>
      <w:pPr>
        <w:widowControl/>
        <w:spacing w:before="0" w:after="40"/>
      </w:pPr>
    </w:p>
    <w:p>
      <w:pPr>
        <w:pStyle w:val="Heading1"/>
        <w:widowControl/>
        <w:ind w:left="110" w:right="40"/>
      </w:pPr>
      <w:r>
        <w:rPr>
          <w:color w:val="000000"/>
          <w:u w:val="none"/>
        </w:rPr>
        <w:t>05  |  停机与换班交接</w:t>
      </w:r>
    </w:p>
    <w:tbl>
      <w:tblPr>
        <w:tblW w:type="dxa" w:w="10466"/>
        <w:jc w:val="left"/>
        <w:tblLayout w:type="fixed"/>
        <w:tblLook w:firstColumn="1" w:firstRow="1" w:lastColumn="0" w:lastRow="0" w:noHBand="0" w:noVBand="1" w:val="04A0"/>
        <w:tblInd w:type="dxa" w:w="12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650"/>
        <w:gridCol w:w="4583"/>
        <w:gridCol w:w="650"/>
        <w:gridCol w:w="4583"/>
      </w:tblGrid>
      <w:tr>
        <w:trPr>
          <w:tblHeader/>
          <w:cantSplit/>
        </w:trPr>
        <w:tc>
          <w:tcPr>
            <w:tcW w:type="dxa" w:w="650"/>
            <w:shd w:fill="0E3B8C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Next/>
              <w:keepLines/>
              <w:widowControl/>
              <w:spacing w:before="0" w:after="0" w:line="252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FFFFFF"/>
                <w:sz w:val="14"/>
              </w:rPr>
              <w:t>确认</w:t>
            </w:r>
          </w:p>
        </w:tc>
        <w:tc>
          <w:tcPr>
            <w:tcW w:type="dxa" w:w="4583"/>
            <w:shd w:fill="0E3B8C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Next/>
              <w:keepLines/>
              <w:widowControl/>
              <w:spacing w:before="0" w:after="0" w:line="252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FFFFFF"/>
                <w:sz w:val="14"/>
              </w:rPr>
              <w:t>停机 / 交接要点</w:t>
            </w:r>
          </w:p>
        </w:tc>
        <w:tc>
          <w:tcPr>
            <w:tcW w:type="dxa" w:w="650"/>
            <w:shd w:fill="0E3B8C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Next/>
              <w:keepLines/>
              <w:widowControl/>
              <w:spacing w:before="0" w:after="0" w:line="252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FFFFFF"/>
                <w:sz w:val="14"/>
              </w:rPr>
              <w:t>确认</w:t>
            </w:r>
          </w:p>
        </w:tc>
        <w:tc>
          <w:tcPr>
            <w:tcW w:type="dxa" w:w="4583"/>
            <w:shd w:fill="0E3B8C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Next/>
              <w:keepLines/>
              <w:widowControl/>
              <w:spacing w:before="0" w:after="0" w:line="252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FFFFFF"/>
                <w:sz w:val="14"/>
              </w:rPr>
              <w:t>停机 / 交接要点</w:t>
            </w:r>
          </w:p>
        </w:tc>
      </w:tr>
      <w:tr>
        <w:trPr>
          <w:cantSplit/>
        </w:trPr>
        <w:tc>
          <w:tcPr>
            <w:tcW w:type="dxa" w:w="65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4"/>
              </w:rPr>
              <w:t>□</w:t>
            </w:r>
          </w:p>
        </w:tc>
        <w:tc>
          <w:tcPr>
            <w:tcW w:type="dxa" w:w="4583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4"/>
              </w:rPr>
              <w:t>工件已落稳，夹具已卸载</w:t>
            </w:r>
          </w:p>
        </w:tc>
        <w:tc>
          <w:tcPr>
            <w:tcW w:type="dxa" w:w="65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4"/>
              </w:rPr>
              <w:t>□</w:t>
            </w:r>
          </w:p>
        </w:tc>
        <w:tc>
          <w:tcPr>
            <w:tcW w:type="dxa" w:w="4583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4"/>
              </w:rPr>
              <w:t>夹具降至最低安全位 / 指定停放位</w:t>
            </w:r>
          </w:p>
        </w:tc>
      </w:tr>
      <w:tr>
        <w:trPr>
          <w:cantSplit/>
        </w:trPr>
        <w:tc>
          <w:tcPr>
            <w:tcW w:type="dxa" w:w="65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4"/>
              </w:rPr>
              <w:t>□</w:t>
            </w:r>
          </w:p>
        </w:tc>
        <w:tc>
          <w:tcPr>
            <w:tcW w:type="dxa" w:w="4583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4"/>
              </w:rPr>
              <w:t>按项目要求制动 / 锁定关节</w:t>
            </w:r>
          </w:p>
        </w:tc>
        <w:tc>
          <w:tcPr>
            <w:tcW w:type="dxa" w:w="65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4"/>
              </w:rPr>
              <w:t>□</w:t>
            </w:r>
          </w:p>
        </w:tc>
        <w:tc>
          <w:tcPr>
            <w:tcW w:type="dxa" w:w="4583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4"/>
              </w:rPr>
              <w:t>按专用程序关闭气源 / 电源并释放残压</w:t>
            </w:r>
          </w:p>
        </w:tc>
      </w:tr>
      <w:tr>
        <w:trPr>
          <w:cantSplit/>
        </w:trPr>
        <w:tc>
          <w:tcPr>
            <w:tcW w:type="dxa" w:w="65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4"/>
              </w:rPr>
              <w:t>□</w:t>
            </w:r>
          </w:p>
        </w:tc>
        <w:tc>
          <w:tcPr>
            <w:tcW w:type="dxa" w:w="4583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4"/>
              </w:rPr>
              <w:t>清理夹具、扶手和作业区</w:t>
            </w:r>
          </w:p>
        </w:tc>
        <w:tc>
          <w:tcPr>
            <w:tcW w:type="dxa" w:w="65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4"/>
              </w:rPr>
              <w:t>□</w:t>
            </w:r>
          </w:p>
        </w:tc>
        <w:tc>
          <w:tcPr>
            <w:tcW w:type="dxa" w:w="4583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4"/>
              </w:rPr>
              <w:t>交接工件规格、气压 / 报警、异常与未结维修</w:t>
            </w:r>
          </w:p>
        </w:tc>
      </w:tr>
    </w:tbl>
    <w:p>
      <w:pPr>
        <w:widowControl/>
        <w:spacing w:before="0" w:after="40"/>
      </w:pPr>
    </w:p>
    <w:p>
      <w:pPr>
        <w:pStyle w:val="Heading1"/>
        <w:widowControl/>
        <w:ind w:left="110" w:right="40"/>
      </w:pPr>
      <w:r>
        <w:rPr>
          <w:color w:val="000000"/>
          <w:u w:val="none"/>
        </w:rPr>
        <w:t>06  |  异常报修记录</w:t>
      </w:r>
    </w:p>
    <w:tbl>
      <w:tblPr>
        <w:tblW w:type="dxa" w:w="10466"/>
        <w:jc w:val="left"/>
        <w:tblLayout w:type="fixed"/>
        <w:tblLook w:firstColumn="1" w:firstRow="1" w:lastColumn="0" w:lastRow="0" w:noHBand="0" w:noVBand="1" w:val="04A0"/>
        <w:tblInd w:type="dxa" w:w="12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500"/>
        <w:gridCol w:w="3733"/>
        <w:gridCol w:w="1500"/>
        <w:gridCol w:w="3733"/>
      </w:tblGrid>
      <w:tr>
        <w:trPr>
          <w:tblHeader/>
          <w:cantSplit/>
        </w:trPr>
        <w:tc>
          <w:tcPr>
            <w:tcW w:type="dxa" w:w="1500"/>
            <w:shd w:fill="0E3B8C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Next/>
              <w:keepLines/>
              <w:widowControl/>
              <w:spacing w:before="0" w:after="0" w:line="252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FFFFFF"/>
                <w:sz w:val="14"/>
              </w:rPr>
              <w:t>字段</w:t>
            </w:r>
          </w:p>
        </w:tc>
        <w:tc>
          <w:tcPr>
            <w:tcW w:type="dxa" w:w="3733"/>
            <w:shd w:fill="0E3B8C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Next/>
              <w:keepLines/>
              <w:widowControl/>
              <w:spacing w:before="0" w:after="0" w:line="252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FFFFFF"/>
                <w:sz w:val="14"/>
              </w:rPr>
              <w:t>记录</w:t>
            </w:r>
          </w:p>
        </w:tc>
        <w:tc>
          <w:tcPr>
            <w:tcW w:type="dxa" w:w="1500"/>
            <w:shd w:fill="0E3B8C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Next/>
              <w:keepLines/>
              <w:widowControl/>
              <w:spacing w:before="0" w:after="0" w:line="252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FFFFFF"/>
                <w:sz w:val="14"/>
              </w:rPr>
              <w:t>字段</w:t>
            </w:r>
          </w:p>
        </w:tc>
        <w:tc>
          <w:tcPr>
            <w:tcW w:type="dxa" w:w="3733"/>
            <w:shd w:fill="0E3B8C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Next/>
              <w:keepLines/>
              <w:widowControl/>
              <w:spacing w:before="0" w:after="0" w:line="252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FFFFFF"/>
                <w:sz w:val="14"/>
              </w:rPr>
              <w:t>记录</w:t>
            </w:r>
          </w:p>
        </w:tc>
      </w:tr>
      <w:tr>
        <w:trPr>
          <w:cantSplit/>
        </w:trPr>
        <w:tc>
          <w:tcPr>
            <w:tcW w:type="dxa" w:w="150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4"/>
              </w:rPr>
              <w:t>发生时间</w:t>
            </w:r>
          </w:p>
        </w:tc>
        <w:tc>
          <w:tcPr>
            <w:tcW w:type="dxa" w:w="3733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4"/>
              </w:rPr>
              <w:t>____年__月__日 __:__</w:t>
            </w:r>
          </w:p>
        </w:tc>
        <w:tc>
          <w:tcPr>
            <w:tcW w:type="dxa" w:w="150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4"/>
              </w:rPr>
              <w:t>设备编号 / 工位</w:t>
            </w:r>
          </w:p>
        </w:tc>
        <w:tc>
          <w:tcPr>
            <w:tcW w:type="dxa" w:w="3733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50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4"/>
              </w:rPr>
              <w:t>工件 / 重量</w:t>
            </w:r>
          </w:p>
        </w:tc>
        <w:tc>
          <w:tcPr>
            <w:tcW w:type="dxa" w:w="3733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150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4"/>
              </w:rPr>
              <w:t>压力 / 报警</w:t>
            </w:r>
          </w:p>
        </w:tc>
        <w:tc>
          <w:tcPr>
            <w:tcW w:type="dxa" w:w="3733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50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4"/>
              </w:rPr>
              <w:t>现象 / 步骤</w:t>
            </w:r>
          </w:p>
        </w:tc>
        <w:tc>
          <w:tcPr>
            <w:tcW w:type="dxa" w:w="3733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150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4"/>
              </w:rPr>
              <w:t>发生环节</w:t>
            </w:r>
          </w:p>
        </w:tc>
        <w:tc>
          <w:tcPr>
            <w:tcW w:type="dxa" w:w="3733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4"/>
              </w:rPr>
              <w:t>□ 空载 □ 夹取 □ 搬运 □ 落位 □ 释放</w:t>
            </w:r>
          </w:p>
        </w:tc>
      </w:tr>
      <w:tr>
        <w:trPr>
          <w:cantSplit/>
        </w:trPr>
        <w:tc>
          <w:tcPr>
            <w:tcW w:type="dxa" w:w="150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4"/>
              </w:rPr>
              <w:t>处置 / 报告人</w:t>
            </w:r>
          </w:p>
        </w:tc>
        <w:tc>
          <w:tcPr>
            <w:tcW w:type="dxa" w:w="3733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1500"/>
            <w:shd w:fill="F4F4F1" w:val="clear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i w:val="0"/>
                <w:color w:val="0C1014"/>
                <w:sz w:val="14"/>
              </w:rPr>
              <w:t>隔离 / 维修关闭</w:t>
            </w:r>
          </w:p>
        </w:tc>
        <w:tc>
          <w:tcPr>
            <w:tcW w:type="dxa" w:w="3733"/>
            <w:vAlign w:val="center"/>
            <w:tcMar>
              <w:top w:type="dxa" w:w="55"/>
              <w:bottom w:type="dxa" w:w="55"/>
              <w:start w:type="dxa" w:w="120"/>
              <w:end w:type="dxa" w:w="120"/>
            </w:tcMar>
            <w:tcBorders>
              <w:top w:val="single" w:sz="5" w:space="0" w:color="C8CDD3"/>
              <w:left w:val="single" w:sz="5" w:space="0" w:color="C8CDD3"/>
              <w:bottom w:val="single" w:sz="5" w:space="0" w:color="C8CDD3"/>
              <w:right w:val="single" w:sz="5" w:space="0" w:color="C8CDD3"/>
              <w:insideH w:val="single" w:sz="5" w:space="0" w:color="C8CDD3"/>
              <w:insideV w:val="single" w:sz="5" w:space="0" w:color="C8CDD3"/>
            </w:tcBorders>
          </w:tcPr>
          <w:p>
            <w:pPr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4"/>
              </w:rPr>
              <w:t>□ 隔离  接收：______  关闭：______</w:t>
            </w:r>
          </w:p>
        </w:tc>
      </w:tr>
    </w:tbl>
    <w:p>
      <w:pPr>
        <w:widowControl/>
        <w:spacing w:before="0" w:after="40"/>
      </w:pPr>
    </w:p>
    <w:tbl>
      <w:tblPr>
        <w:tblW w:type="dxa" w:w="10466"/>
        <w:jc w:val="left"/>
        <w:tblLayout w:type="fixed"/>
        <w:tblLook w:firstColumn="1" w:firstRow="1" w:lastColumn="0" w:lastRow="0" w:noHBand="0" w:noVBand="1" w:val="04A0"/>
        <w:tblInd w:type="dxa" w:w="12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6500"/>
        <w:gridCol w:w="3966"/>
      </w:tblGrid>
      <w:tr>
        <w:trPr>
          <w:tblHeader/>
          <w:cantSplit/>
        </w:trPr>
        <w:tc>
          <w:tcPr>
            <w:tcW w:type="dxa" w:w="6500"/>
            <w:shd w:fill="F4F4F1" w:val="clear"/>
            <w:tcBorders>
              <w:top w:val="single" w:sz="8" w:space="0" w:color="0E3B8C"/>
              <w:left w:val="single" w:sz="8" w:space="0" w:color="0E3B8C"/>
              <w:bottom w:val="single" w:sz="8" w:space="0" w:color="0E3B8C"/>
              <w:right w:val="single" w:sz="8" w:space="0" w:color="0E3B8C"/>
              <w:insideH w:val="single" w:sz="8" w:space="0" w:color="0E3B8C"/>
              <w:insideV w:val="single" w:sz="8" w:space="0" w:color="0E3B8C"/>
            </w:tcBorders>
            <w:vAlign w:val="center"/>
            <w:tcMar>
              <w:top w:type="dxa" w:w="70"/>
              <w:bottom w:type="dxa" w:w="70"/>
              <w:start w:type="dxa" w:w="120"/>
              <w:end w:type="dxa" w:w="120"/>
            </w:tcMar>
          </w:tcPr>
          <w:p>
            <w:pPr>
              <w:keepNext/>
              <w:keepLines/>
              <w:widowControl/>
              <w:spacing w:before="0" w:after="0" w:line="25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4"/>
              </w:rPr>
              <w:t xml:space="preserve"> </w:t>
            </w:r>
            <w:r>
              <w:rPr>
                <w:rFonts w:ascii="Microsoft YaHei" w:hAnsi="Microsoft YaHei" w:eastAsia="Microsoft YaHei"/>
                <w:b/>
                <w:color w:val="0E3B8C"/>
                <w:sz w:val="16"/>
              </w:rPr>
              <w:t>售后联系</w:t>
              <w:br/>
            </w:r>
            <w:r>
              <w:rPr>
                <w:rFonts w:ascii="Microsoft YaHei" w:hAnsi="Microsoft YaHei" w:eastAsia="Microsoft YaHei"/>
                <w:color w:val="0C1014"/>
                <w:sz w:val="14"/>
              </w:rPr>
              <w:t>19051206661  |  sales@aurek.cn</w:t>
              <w:br/>
              <w:t>www.aurek.cn</w:t>
              <w:br/>
              <w:t>江苏省连云港市灌南县经济开发区通州路1号</w:t>
            </w:r>
          </w:p>
        </w:tc>
        <w:tc>
          <w:tcPr>
            <w:tcW w:type="dxa" w:w="3966"/>
            <w:shd w:fill="FFFFFF" w:val="clear"/>
            <w:tcBorders>
              <w:top w:val="single" w:sz="8" w:space="0" w:color="0E3B8C"/>
              <w:left w:val="single" w:sz="8" w:space="0" w:color="0E3B8C"/>
              <w:bottom w:val="single" w:sz="8" w:space="0" w:color="0E3B8C"/>
              <w:right w:val="single" w:sz="8" w:space="0" w:color="0E3B8C"/>
              <w:insideH w:val="single" w:sz="8" w:space="0" w:color="0E3B8C"/>
              <w:insideV w:val="single" w:sz="8" w:space="0" w:color="0E3B8C"/>
            </w:tcBorders>
            <w:vAlign w:val="center"/>
            <w:tcMar>
              <w:top w:type="dxa" w:w="70"/>
              <w:bottom w:type="dxa" w:w="70"/>
              <w:start w:type="dxa" w:w="120"/>
              <w:end w:type="dxa" w:w="120"/>
            </w:tcMar>
          </w:tcPr>
          <w:p>
            <w:pPr>
              <w:keepNext/>
              <w:keepLines/>
              <w:widowControl/>
              <w:spacing w:before="40" w:after="40" w:line="252" w:lineRule="auto"/>
              <w:jc w:val="center"/>
            </w:pPr>
            <w:r/>
            <w:r>
              <w:rPr>
                <w:rFonts w:ascii="Microsoft YaHei" w:hAnsi="Microsoft YaHei" w:eastAsia="Microsoft YaHei"/>
                <w:b w:val="0"/>
                <w:i w:val="0"/>
                <w:color w:val="0C1014"/>
                <w:sz w:val="14"/>
              </w:rPr>
              <w:t xml:space="preserve"> </w:t>
            </w:r>
            <w:r>
              <w:rPr>
                <w:rFonts w:ascii="Microsoft YaHei" w:hAnsi="Microsoft YaHei" w:eastAsia="Microsoft YaHei"/>
                <w:b/>
                <w:color w:val="59626E"/>
                <w:sz w:val="14"/>
              </w:rPr>
              <w:t>售后服务二维码粘贴位</w:t>
              <w:br/>
              <w:t>（仅粘贴经项目负责人验证的真实二维码）</w:t>
            </w:r>
          </w:p>
        </w:tc>
      </w:tr>
    </w:tbl>
    <w:p>
      <w:pPr>
        <w:widowControl/>
        <w:spacing w:after="0"/>
      </w:pPr>
    </w:p>
    <w:p>
      <w:pPr>
        <w:widowControl/>
        <w:spacing w:before="20" w:after="0"/>
        <w:jc w:val="center"/>
      </w:pPr>
      <w:r>
        <w:rPr>
          <w:rFonts w:ascii="Microsoft YaHei" w:hAnsi="Microsoft YaHei" w:eastAsia="Microsoft YaHei"/>
          <w:b/>
          <w:color w:val="000000"/>
          <w:sz w:val="14"/>
        </w:rPr>
        <w:t>本卡不得替代设备专用说明书、项目风险评估、锁定挂牌程序和现场应急预案。故障未排除、复位条件未确认前不得恢复生产。</w:t>
      </w:r>
    </w:p>
    <w:sectPr>
      <w:headerReference w:type="default" r:id="rId9"/>
      <w:footerReference w:type="default" r:id="rId10"/>
      <w:headerReference w:type="first" r:id="rId11"/>
      <w:headerReference w:type="even" r:id="rId12"/>
      <w:footerReference w:type="first" r:id="rId13"/>
      <w:footerReference w:type="even" r:id="rId14"/>
      <w:pgSz w:w="11906" w:h="16838"/>
      <w:pgMar w:top="720" w:right="720" w:bottom="720" w:left="720" w:header="363" w:footer="36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/>
  </w:p>
  <w:tbl>
    <w:tblPr>
      <w:tblW w:type="dxa" w:w="10466"/>
      <w:jc w:val="left"/>
      <w:tblLayout w:type="fixed"/>
      <w:tblLook w:firstColumn="1" w:firstRow="1" w:lastColumn="0" w:lastRow="0" w:noHBand="0" w:noVBand="1" w:val="04A0"/>
      <w:tblInd w:type="dxa" w:w="0"/>
    </w:tblPr>
    <w:tblGrid>
      <w:gridCol w:w="6400"/>
      <w:gridCol w:w="2100"/>
      <w:gridCol w:w="1966"/>
    </w:tblGrid>
    <w:tr>
      <w:trPr>
        <w:tblHeader/>
        <w:cantSplit/>
      </w:trPr>
      <w:tc>
        <w:tcPr>
          <w:tcW w:type="dxa" w:w="6400"/>
          <w:vAlign w:val="center"/>
          <w:tcMar>
            <w:top w:type="dxa" w:w="0"/>
            <w:bottom w:type="dxa" w:w="0"/>
            <w:start w:type="dxa" w:w="0"/>
            <w:end w:type="dxa" w:w="0"/>
          </w:tcMar>
          <w:tcBorders>
            <w:top w:val="nil"/>
            <w:left w:val="nil"/>
            <w:bottom w:val="nil"/>
            <w:right w:val="nil"/>
            <w:insideH w:val="nil"/>
            <w:insideV w:val="nil"/>
          </w:tcBorders>
        </w:tcPr>
        <w:p>
          <w:pPr>
            <w:keepLines/>
            <w:spacing w:before="0" w:after="0" w:line="252" w:lineRule="auto"/>
            <w:jc w:val="left"/>
          </w:pPr>
          <w:r/>
          <w:r>
            <w:rPr>
              <w:rFonts w:ascii="Microsoft YaHei" w:hAnsi="Microsoft YaHei" w:eastAsia="Microsoft YaHei"/>
              <w:b w:val="0"/>
              <w:i w:val="0"/>
              <w:color w:val="59626E"/>
              <w:sz w:val="13"/>
            </w:rPr>
            <w:t>江苏安睿克智能科技有限公司  |  www.aurek.cn</w:t>
          </w:r>
        </w:p>
      </w:tc>
      <w:tc>
        <w:tcPr>
          <w:tcW w:type="dxa" w:w="2100"/>
          <w:vAlign w:val="center"/>
          <w:tcMar>
            <w:top w:type="dxa" w:w="0"/>
            <w:bottom w:type="dxa" w:w="0"/>
            <w:start w:type="dxa" w:w="0"/>
            <w:end w:type="dxa" w:w="0"/>
          </w:tcMar>
          <w:tcBorders>
            <w:top w:val="nil"/>
            <w:left w:val="nil"/>
            <w:bottom w:val="nil"/>
            <w:right w:val="nil"/>
            <w:insideH w:val="nil"/>
            <w:insideV w:val="nil"/>
          </w:tcBorders>
        </w:tcPr>
        <w:p>
          <w:pPr>
            <w:keepLines/>
            <w:spacing w:before="0" w:after="0" w:line="252" w:lineRule="auto"/>
            <w:jc w:val="center"/>
          </w:pPr>
          <w:r/>
          <w:r>
            <w:rPr>
              <w:rFonts w:ascii="Microsoft YaHei" w:hAnsi="Microsoft YaHei" w:eastAsia="Microsoft YaHei"/>
              <w:b w:val="0"/>
              <w:i w:val="0"/>
              <w:color w:val="59626E"/>
              <w:sz w:val="13"/>
            </w:rPr>
            <w:t>操作安全快速卡</w:t>
          </w:r>
        </w:p>
      </w:tc>
      <w:tc>
        <w:tcPr>
          <w:tcW w:type="dxa" w:w="1966"/>
          <w:vAlign w:val="center"/>
          <w:tcMar>
            <w:top w:type="dxa" w:w="0"/>
            <w:bottom w:type="dxa" w:w="0"/>
            <w:start w:type="dxa" w:w="0"/>
            <w:end w:type="dxa" w:w="0"/>
          </w:tcMar>
          <w:tcBorders>
            <w:top w:val="nil"/>
            <w:left w:val="nil"/>
            <w:bottom w:val="nil"/>
            <w:right w:val="nil"/>
            <w:insideH w:val="nil"/>
            <w:insideV w:val="nil"/>
          </w:tcBorders>
        </w:tcPr>
        <w:p>
          <w:pPr>
            <w:keepLines/>
            <w:spacing w:before="0" w:after="0" w:line="252" w:lineRule="auto"/>
            <w:jc w:val="right"/>
          </w:pPr>
          <w:r/>
          <w:r>
            <w:rPr>
              <w:rFonts w:ascii="Microsoft YaHei" w:hAnsi="Microsoft YaHei" w:eastAsia="Microsoft YaHei"/>
              <w:b w:val="0"/>
              <w:i w:val="0"/>
              <w:color w:val="59626E"/>
              <w:sz w:val="13"/>
            </w:rPr>
            <w:t xml:space="preserve"> </w:t>
          </w:r>
          <w:r>
            <w:rPr>
              <w:rFonts w:ascii="Microsoft YaHei" w:hAnsi="Microsoft YaHei" w:eastAsia="Microsoft YaHei"/>
              <w:color w:val="59626E"/>
              <w:sz w:val="13"/>
            </w:rPr>
            <w:t xml:space="preserve">第 </w:t>
          </w:r>
          <w:r>
            <w:rPr>
              <w:rFonts w:ascii="Microsoft YaHei" w:hAnsi="Microsoft YaHei" w:eastAsia="Microsoft YaHei"/>
              <w:color w:val="59626E"/>
              <w:sz w:val="13"/>
            </w:rPr>
            <w:fldChar w:fldCharType="begin"/>
            <w:instrText xml:space="preserve"> PAGE </w:instrText>
            <w:fldChar w:fldCharType="separate"/>
            <w:t>1</w:t>
            <w:fldChar w:fldCharType="end"/>
          </w:r>
          <w:r>
            <w:rPr>
              <w:rFonts w:ascii="Microsoft YaHei" w:hAnsi="Microsoft YaHei" w:eastAsia="Microsoft YaHei"/>
              <w:color w:val="59626E"/>
              <w:sz w:val="13"/>
            </w:rPr>
            <w:t xml:space="preserve"> / </w:t>
          </w:r>
          <w:r>
            <w:rPr>
              <w:rFonts w:ascii="Microsoft YaHei" w:hAnsi="Microsoft YaHei" w:eastAsia="Microsoft YaHei"/>
              <w:color w:val="59626E"/>
              <w:sz w:val="13"/>
            </w:rPr>
            <w:fldChar w:fldCharType="begin"/>
            <w:instrText xml:space="preserve"> NUMPAGES </w:instrText>
            <w:fldChar w:fldCharType="separate"/>
            <w:t>1</w:t>
            <w:fldChar w:fldCharType="end"/>
          </w:r>
          <w:r>
            <w:rPr>
              <w:rFonts w:ascii="Microsoft YaHei" w:hAnsi="Microsoft YaHei" w:eastAsia="Microsoft YaHei"/>
              <w:color w:val="59626E"/>
              <w:sz w:val="13"/>
            </w:rPr>
            <w:t xml:space="preserve"> 页</w:t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00000"/>
        <w:sz w:val="16"/>
      </w:rPr>
      <w:t xml:space="preserve">AUREK-HSE-QC-001  V1.0  2026-09-06     </w:t>
    </w:r>
    <w:fldSimple w:instr="PAGE"/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00000"/>
        <w:sz w:val="16"/>
      </w:rPr>
      <w:t xml:space="preserve">AUREK-HSE-QC-001  V1.0  2026-09-06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color w:val="000000"/>
      </w:rPr>
    </w:r>
  </w:p>
  <w:tbl>
    <w:tblPr>
      <w:tblW w:type="dxa" w:w="10466"/>
      <w:jc w:val="left"/>
      <w:tblLayout w:type="fixed"/>
      <w:tblLook w:firstColumn="1" w:firstRow="1" w:lastColumn="0" w:lastRow="0" w:noHBand="0" w:noVBand="1" w:val="04A0"/>
      <w:tblInd w:type="dxa" w:w="0"/>
    </w:tblPr>
    <w:tblGrid>
      <w:gridCol w:w="6200"/>
      <w:gridCol w:w="4266"/>
    </w:tblGrid>
    <w:tr>
      <w:trPr>
        <w:tblHeader/>
        <w:cantSplit/>
      </w:trPr>
      <w:tc>
        <w:tcPr>
          <w:tcW w:type="dxa" w:w="6200"/>
          <w:vAlign w:val="center"/>
          <w:tcMar>
            <w:top w:type="dxa" w:w="0"/>
            <w:bottom w:type="dxa" w:w="0"/>
            <w:start w:type="dxa" w:w="0"/>
            <w:end w:type="dxa" w:w="0"/>
          </w:tcMar>
          <w:tcBorders>
            <w:top w:val="nil"/>
            <w:left w:val="nil"/>
            <w:bottom w:val="nil"/>
            <w:right w:val="nil"/>
            <w:insideH w:val="nil"/>
            <w:insideV w:val="nil"/>
          </w:tcBorders>
        </w:tcPr>
        <w:p>
          <w:pPr>
            <w:keepLines/>
            <w:spacing w:before="0" w:after="0" w:line="252" w:lineRule="auto"/>
            <w:jc w:val="left"/>
          </w:pPr>
          <w:r/>
          <w:r>
            <w:rPr>
              <w:rFonts w:ascii="Microsoft YaHei" w:hAnsi="Microsoft YaHei" w:eastAsia="Microsoft YaHei"/>
              <w:b/>
              <w:i w:val="0"/>
              <w:color w:val="0E3B8C"/>
              <w:sz w:val="14"/>
            </w:rPr>
            <w:t>AUREK 安睿克  |  现场安全工具</w:t>
          </w:r>
        </w:p>
      </w:tc>
      <w:tc>
        <w:tcPr>
          <w:tcW w:type="dxa" w:w="4266"/>
          <w:vAlign w:val="center"/>
          <w:tcMar>
            <w:top w:type="dxa" w:w="0"/>
            <w:bottom w:type="dxa" w:w="0"/>
            <w:start w:type="dxa" w:w="0"/>
            <w:end w:type="dxa" w:w="0"/>
          </w:tcMar>
          <w:tcBorders>
            <w:top w:val="nil"/>
            <w:left w:val="nil"/>
            <w:bottom w:val="nil"/>
            <w:right w:val="nil"/>
            <w:insideH w:val="nil"/>
            <w:insideV w:val="nil"/>
          </w:tcBorders>
        </w:tcPr>
        <w:p>
          <w:pPr>
            <w:keepLines/>
            <w:spacing w:before="0" w:after="0" w:line="252" w:lineRule="auto"/>
            <w:jc w:val="right"/>
          </w:pPr>
          <w:r/>
          <w:r>
            <w:rPr>
              <w:rFonts w:ascii="Microsoft YaHei" w:hAnsi="Microsoft YaHei" w:eastAsia="Microsoft YaHei"/>
              <w:b w:val="0"/>
              <w:i w:val="0"/>
              <w:color w:val="59626E"/>
              <w:sz w:val="14"/>
            </w:rPr>
            <w:t>AUREK-HSE-QC-001  ·  V1.0</w:t>
          </w:r>
        </w:p>
      </w:tc>
    </w:tr>
  </w:tbl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40" w:line="276" w:lineRule="auto"/>
    </w:pPr>
    <w:rPr>
      <w:rFonts w:ascii="Microsoft YaHei" w:hAnsi="Microsoft YaHei" w:eastAsia="Microsoft YaHei"/>
      <w:b w:val="0"/>
      <w:color w:val="0C1014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微软雅黑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70" w:line="240" w:lineRule="auto"/>
      <w:outlineLvl w:val="0"/>
    </w:pPr>
    <w:rPr>
      <w:rFonts w:asciiTheme="majorHAnsi" w:eastAsiaTheme="majorEastAsia" w:hAnsiTheme="majorHAnsi" w:cstheme="majorBidi" w:ascii="Arial" w:hAnsi="Arial" w:eastAsia="微软雅黑"/>
      <w:b/>
      <w:bCs/>
      <w:color w:val="000000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40" w:line="240" w:lineRule="auto"/>
      <w:outlineLvl w:val="1"/>
    </w:pPr>
    <w:rPr>
      <w:rFonts w:asciiTheme="majorHAnsi" w:eastAsiaTheme="majorEastAsia" w:hAnsiTheme="majorHAnsi" w:cstheme="majorBidi" w:ascii="Arial" w:hAnsi="Arial" w:eastAsia="微软雅黑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60" w:after="30" w:line="240" w:lineRule="auto"/>
      <w:outlineLvl w:val="2"/>
    </w:pPr>
    <w:rPr>
      <w:rFonts w:asciiTheme="majorHAnsi" w:eastAsiaTheme="majorEastAsia" w:hAnsiTheme="majorHAnsi" w:cstheme="majorBidi" w:ascii="Arial" w:hAnsi="Arial" w:eastAsia="微软雅黑"/>
      <w:b/>
      <w:bCs/>
      <w:color w:val="000000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 w:eastAsia="微软雅黑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 w:before="0"/>
      <w:contextualSpacing/>
    </w:pPr>
    <w:rPr>
      <w:rFonts w:asciiTheme="majorHAnsi" w:eastAsiaTheme="majorEastAsia" w:hAnsiTheme="majorHAnsi" w:cstheme="majorBidi" w:ascii="Arial" w:hAnsi="Arial" w:eastAsia="微软雅黑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00" w:line="240" w:lineRule="auto"/>
    </w:pPr>
    <w:rPr>
      <w:rFonts w:asciiTheme="majorHAnsi" w:eastAsiaTheme="majorEastAsia" w:hAnsiTheme="majorHAnsi" w:cstheme="majorBidi" w:ascii="Arial" w:hAnsi="Arial" w:eastAsia="微软雅黑"/>
      <w:b w:val="0"/>
      <w:i/>
      <w:iCs/>
      <w:color w:val="000000"/>
      <w:spacing w:val="15"/>
      <w:sz w:val="19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header" Target="header3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助力机械臂操作安全快速卡</dc:title>
  <dc:subject>AUREK-HSE-QC-001</dc:subject>
  <dc:creator>AUREK</dc:creator>
  <cp:keywords>AUREK, 安睿克, 工程资料</cp:keywords>
  <dc:description/>
  <cp:lastModifiedBy>AUREK</cp:lastModifiedBy>
  <cp:revision>1</cp:revision>
  <dcterms:created xsi:type="dcterms:W3CDTF">2013-12-23T23:15:00Z</dcterms:created>
  <dcterms:modified xsi:type="dcterms:W3CDTF">2026-09-06T10:01:42Z</dcterms:modified>
  <cp:category/>
</cp:coreProperties>
</file>