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0" w:after="400"/>
        <w:jc w:val="center"/>
      </w:pPr>
      <w:r>
        <w:drawing>
          <wp:inline xmlns:a="http://schemas.openxmlformats.org/drawingml/2006/main" xmlns:pic="http://schemas.openxmlformats.org/drawingml/2006/picture">
            <wp:extent cx="2160000" cy="756000"/>
            <wp:docPr id="1" name="Picture 1" descr="安睿克 AUREK 完整品牌标识" title="安睿克 AUREK 完整品牌标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rek-logo-full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75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AUREKKicker"/>
        <w:widowControl/>
        <w:spacing w:after="120" w:line="312" w:lineRule="auto"/>
        <w:jc w:val="center"/>
      </w:pPr>
      <w:r>
        <w:rPr>
          <w:color w:val="000000"/>
        </w:rPr>
        <w:t>INDUSTRIAL HANDLING · PRODUCT GUIDE</w:t>
      </w:r>
    </w:p>
    <w:p>
      <w:pPr>
        <w:pStyle w:val="Title"/>
        <w:keepNext/>
        <w:widowControl/>
        <w:spacing w:after="200"/>
        <w:jc w:val="center"/>
      </w:pPr>
      <w:r>
        <w:rPr>
          <w:b/>
          <w:color w:val="000000"/>
          <w:sz w:val="44"/>
          <w:u w:val="none"/>
        </w:rPr>
        <w:t>安睿克产品总览与快速选型手册</w:t>
      </w:r>
    </w:p>
    <w:p>
      <w:pPr>
        <w:pStyle w:val="Subtitle"/>
        <w:widowControl/>
        <w:jc w:val="center"/>
      </w:pPr>
      <w:r>
        <w:rPr>
          <w:color w:val="000000"/>
          <w:u w:val="none"/>
        </w:rPr>
        <w:t>ARK 系列气动助力机械臂 · 非标夹具 · 真空吸附 · 工位吊装</w:t>
      </w:r>
    </w:p>
    <w:p>
      <w:pPr>
        <w:spacing w:before="0" w:after="120" w:line="312" w:lineRule="auto"/>
        <w:jc w:val="center"/>
        <w:widowControl/>
      </w:pPr>
      <w:r>
        <w:rPr>
          <w:rFonts w:ascii="Microsoft YaHei" w:hAnsi="Microsoft YaHei" w:eastAsia="Microsoft YaHei" w:cs="Microsoft YaHei"/>
          <w:b/>
          <w:color w:val="000000"/>
          <w:sz w:val="22"/>
        </w:rPr>
        <w:t>工况  →  结构  →  夹具  →  安全</w:t>
      </w:r>
    </w:p>
    <w:p>
      <w:pPr>
        <w:widowControl/>
        <w:spacing w:before="40" w:after="40"/>
        <w:jc w:val="center"/>
      </w:pPr>
      <w:r>
        <w:drawing>
          <wp:inline xmlns:a="http://schemas.openxmlformats.org/drawingml/2006/main" xmlns:pic="http://schemas.openxmlformats.org/drawingml/2006/picture">
            <wp:extent cx="6192000" cy="4644000"/>
            <wp:docPr id="2" name="Picture 2" descr="安睿克 ARK-S 立柱式气动助力机械臂在制造工位搬运" title="安睿克 ARK-S 立柱式气动助力机械臂在制造工位搬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rek-assist-arm-column-mount-ark-s-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464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widowControl/>
        <w:spacing w:after="120" w:line="312" w:lineRule="auto"/>
        <w:jc w:val="center"/>
      </w:pPr>
      <w:r>
        <w:rPr>
          <w:color w:val="000000"/>
        </w:rPr>
        <w:t>ARK-S 立柱式助力机械臂 · 图片来自安睿克官网公开素材</w:t>
      </w:r>
    </w:p>
    <w:p>
      <w:pPr>
        <w:widowControl/>
        <w:spacing w:before="120" w:after="120" w:line="312" w:lineRule="auto"/>
        <w:jc w:val="center"/>
      </w:pPr>
      <w:r>
        <w:rPr>
          <w:rFonts w:ascii="Microsoft YaHei" w:hAnsi="Microsoft YaHei" w:eastAsia="Microsoft YaHei" w:cs="Microsoft YaHei"/>
          <w:b/>
          <w:color w:val="000000"/>
          <w:sz w:val="16"/>
        </w:rPr>
        <w:t>AUREK-PB-ARK-001   |   V1.0   |   2026-08-15</w:t>
      </w:r>
    </w:p>
    <w:p>
      <w:pPr>
        <w:widowControl/>
      </w:pPr>
      <w:r>
        <w:br w:type="page"/>
      </w:r>
    </w:p>
    <w:p>
      <w:pPr>
        <w:pStyle w:val="AUREKKicker"/>
        <w:widowControl/>
        <w:spacing w:after="120" w:line="312" w:lineRule="auto"/>
      </w:pPr>
      <w:r>
        <w:rPr>
          <w:color w:val="000000"/>
        </w:rPr>
        <w:t>SECTION 01  ·  BRAND &amp; PORTFOLIO</w:t>
      </w:r>
    </w:p>
    <w:p>
      <w:pPr>
        <w:pStyle w:val="Heading1"/>
        <w:widowControl/>
      </w:pPr>
      <w:r>
        <w:rPr>
          <w:color w:val="000000"/>
          <w:u w:val="none"/>
        </w:rPr>
        <w:t>围绕工件与工况，形成完整搬运方案</w:t>
      </w:r>
    </w:p>
    <w:p>
      <w:pPr>
        <w:pStyle w:val="AUREKLead"/>
        <w:widowControl/>
        <w:spacing w:after="120" w:line="312" w:lineRule="auto"/>
      </w:pPr>
      <w:r>
        <w:rPr>
          <w:color w:val="000000"/>
        </w:rPr>
        <w:t>江苏安睿克智能科技有限公司专注于辅助搬运设备的设计、制造与系统集成，围绕工件、动作和现场条件提供可定制的助力搬运方案。</w:t>
      </w:r>
    </w:p>
    <w:p>
      <w:pPr>
        <w:widowControl/>
        <w:spacing w:before="40" w:after="40"/>
        <w:jc w:val="center"/>
      </w:pPr>
      <w:r>
        <w:drawing>
          <wp:inline xmlns:a="http://schemas.openxmlformats.org/drawingml/2006/main" xmlns:pic="http://schemas.openxmlformats.org/drawingml/2006/picture">
            <wp:extent cx="6192000" cy="2873896"/>
            <wp:docPr id="3" name="Picture 3" descr="江苏安睿克智能科技有限公司厂区外景" title="江苏安睿克智能科技有限公司厂区外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rek-factory-exterior-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28738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widowControl/>
        <w:spacing w:after="120" w:line="312" w:lineRule="auto"/>
        <w:jc w:val="center"/>
      </w:pPr>
      <w:r>
        <w:rPr>
          <w:color w:val="000000"/>
        </w:rPr>
        <w:t>江苏安睿克智能科技有限公司 · 连云港</w:t>
      </w:r>
    </w:p>
    <w:tbl>
      <w:tblPr>
        <w:tblW w:type="dxa" w:w="10091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500"/>
        <w:gridCol w:w="3720"/>
        <w:gridCol w:w="3871"/>
      </w:tblGrid>
      <w:tr>
        <w:trPr>
          <w:tblHeader w:val="true"/>
        </w:trPr>
        <w:tc>
          <w:tcPr>
            <w:tcW w:type="dxa" w:w="25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0E3B8C" w:val="clear"/>
          </w:tcPr>
          <w:p>
            <w:pPr>
              <w:keepNext/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</w: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  <w:t>产品组合</w:t>
            </w:r>
          </w:p>
        </w:tc>
        <w:tc>
          <w:tcPr>
            <w:tcW w:type="dxa" w:w="372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0E3B8C" w:val="clear"/>
          </w:tcPr>
          <w:p>
            <w:pPr>
              <w:keepNext/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</w: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  <w:t>核心作用</w:t>
            </w:r>
          </w:p>
        </w:tc>
        <w:tc>
          <w:tcPr>
            <w:tcW w:type="dxa" w:w="387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0E3B8C" w:val="clear"/>
          </w:tcPr>
          <w:p>
            <w:pPr>
              <w:keepNext/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</w: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  <w:t>常见动作 / 对象</w:t>
            </w:r>
          </w:p>
        </w:tc>
      </w:tr>
      <w:tr>
        <w:trPr/>
        <w:tc>
          <w:tcPr>
            <w:tcW w:type="dxa" w:w="25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  <w:t>ARK 系列助力机械臂</w:t>
            </w:r>
          </w:p>
        </w:tc>
        <w:tc>
          <w:tcPr>
            <w:tcW w:type="dxa" w:w="372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设备承担工件重量，操作者负责引导、定位和放置</w:t>
            </w:r>
          </w:p>
        </w:tc>
        <w:tc>
          <w:tcPr>
            <w:tcW w:type="dxa" w:w="387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夹取、升降、平移、旋转、翻转、装配定位</w:t>
            </w:r>
          </w:p>
        </w:tc>
      </w:tr>
      <w:tr>
        <w:trPr/>
        <w:tc>
          <w:tcPr>
            <w:tcW w:type="dxa" w:w="25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  <w:t>非标夹具定制</w:t>
            </w:r>
          </w:p>
        </w:tc>
        <w:tc>
          <w:tcPr>
            <w:tcW w:type="dxa" w:w="372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围绕工件形状、受力点、表面和释放方式设计</w:t>
            </w:r>
          </w:p>
        </w:tc>
        <w:tc>
          <w:tcPr>
            <w:tcW w:type="dxa" w:w="387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吸盘、夹爪、抱夹、吊钩、内撑、气胀轴、翻转与专用夹具</w:t>
            </w:r>
          </w:p>
        </w:tc>
      </w:tr>
      <w:tr>
        <w:trPr/>
        <w:tc>
          <w:tcPr>
            <w:tcW w:type="dxa" w:w="25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  <w:t>真空吸吊与吸附</w:t>
            </w:r>
          </w:p>
        </w:tc>
        <w:tc>
          <w:tcPr>
            <w:tcW w:type="dxa" w:w="372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面向纸箱、箱体、板材、钣金及平面类工件</w:t>
            </w:r>
          </w:p>
        </w:tc>
        <w:tc>
          <w:tcPr>
            <w:tcW w:type="dxa" w:w="387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吸附、升降、平移、翻转、装箱与上料</w:t>
            </w:r>
          </w:p>
        </w:tc>
      </w:tr>
      <w:tr>
        <w:trPr/>
        <w:tc>
          <w:tcPr>
            <w:tcW w:type="dxa" w:w="25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  <w:t>折臂式悬臂吊</w:t>
            </w:r>
          </w:p>
        </w:tc>
        <w:tc>
          <w:tcPr>
            <w:tcW w:type="dxa" w:w="372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固定区域内结构清晰、部署灵活的工位吊装</w:t>
            </w:r>
          </w:p>
        </w:tc>
        <w:tc>
          <w:tcPr>
            <w:tcW w:type="dxa" w:w="387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上下料、短距离转移与工位吊运</w:t>
            </w:r>
          </w:p>
        </w:tc>
      </w:tr>
    </w:tbl>
    <w:p>
      <w:pPr>
        <w:pStyle w:val="AUREKCallout"/>
        <w:widowControl/>
        <w:spacing w:after="120" w:line="312" w:lineRule="auto"/>
        <w:ind w:left="142" w:right="102"/>
      </w:pPr>
      <w:r>
        <w:rPr>
          <w:rFonts w:ascii="Microsoft YaHei" w:hAnsi="Microsoft YaHei" w:eastAsia="Microsoft YaHei" w:cs="Microsoft YaHei"/>
          <w:b/>
          <w:color w:val="000000"/>
          <w:sz w:val="19"/>
        </w:rPr>
        <w:t>定位  安睿克助力机械臂是人工引导的辅助搬运设备，由设备承担搬运负载，操作者完成引导、定位和放置。</w:t>
      </w:r>
    </w:p>
    <w:p>
      <w:pPr>
        <w:pStyle w:val="AUREKSource"/>
        <w:widowControl/>
        <w:spacing w:after="120" w:line="312" w:lineRule="auto"/>
      </w:pPr>
      <w:r>
        <w:rPr>
          <w:color w:val="000000"/>
        </w:rPr>
        <w:t>内容依据：安睿克官网首页、产品中心与选型问答（公开版本，截至 2026-08-15）。</w:t>
      </w:r>
    </w:p>
    <w:p>
      <w:pPr>
        <w:widowControl/>
      </w:pPr>
      <w:r>
        <w:br w:type="page"/>
      </w:r>
    </w:p>
    <w:p>
      <w:pPr>
        <w:pStyle w:val="AUREKKicker"/>
        <w:widowControl/>
        <w:spacing w:after="120" w:line="312" w:lineRule="auto"/>
      </w:pPr>
      <w:r>
        <w:rPr>
          <w:color w:val="000000"/>
        </w:rPr>
        <w:t>SECTION 02  ·  ARK SYSTEM</w:t>
      </w:r>
    </w:p>
    <w:p>
      <w:pPr>
        <w:pStyle w:val="Heading1"/>
        <w:widowControl/>
      </w:pPr>
      <w:r>
        <w:rPr>
          <w:color w:val="000000"/>
          <w:u w:val="none"/>
        </w:rPr>
        <w:t>ARK 系列：整机、气路与夹具协同设计</w:t>
      </w:r>
    </w:p>
    <w:p>
      <w:pPr>
        <w:pStyle w:val="AUREKLead"/>
        <w:widowControl/>
        <w:spacing w:after="120" w:line="312" w:lineRule="auto"/>
      </w:pPr>
      <w:r>
        <w:rPr>
          <w:color w:val="000000"/>
        </w:rPr>
        <w:t>负载、作业半径与提升行程需结合工况共同校核。选型时应同时确认工件与夹具组合重量、重心、取放路径、安装空间和安全要求。</w:t>
      </w:r>
    </w:p>
    <w:p>
      <w:pPr>
        <w:widowControl/>
        <w:spacing w:before="40" w:after="40"/>
        <w:jc w:val="center"/>
      </w:pPr>
      <w:r>
        <w:drawing>
          <wp:inline xmlns:a="http://schemas.openxmlformats.org/drawingml/2006/main" xmlns:pic="http://schemas.openxmlformats.org/drawingml/2006/picture">
            <wp:extent cx="5328000" cy="3394862"/>
            <wp:docPr id="4" name="Picture 4" descr="安睿克气动助力机械臂结构示意图" title="安睿克气动助力机械臂结构示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rek-assist-arm-structure-diagram-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948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widowControl/>
        <w:spacing w:after="120" w:line="312" w:lineRule="auto"/>
        <w:jc w:val="center"/>
      </w:pPr>
      <w:r>
        <w:rPr>
          <w:color w:val="000000"/>
        </w:rPr>
        <w:t>结构示意：承载结构、平衡系统、回转关节、控制与末端接口按同一工况协同设计</w:t>
      </w:r>
    </w:p>
    <w:tbl>
      <w:tblPr>
        <w:tblW w:type="dxa" w:w="10091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450"/>
        <w:gridCol w:w="7641"/>
      </w:tblGrid>
      <w:tr>
        <w:trPr>
          <w:tblHeader w:val="true"/>
        </w:trPr>
        <w:tc>
          <w:tcPr>
            <w:tcW w:type="dxa" w:w="245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0E3B8C" w:val="clear"/>
          </w:tcPr>
          <w:p>
            <w:pPr>
              <w:keepNext/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</w: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  <w:t>选型维度</w:t>
            </w:r>
          </w:p>
        </w:tc>
        <w:tc>
          <w:tcPr>
            <w:tcW w:type="dxa" w:w="764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0E3B8C" w:val="clear"/>
          </w:tcPr>
          <w:p>
            <w:pPr>
              <w:keepNext/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</w: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  <w:t>确认逻辑</w:t>
            </w:r>
          </w:p>
        </w:tc>
      </w:tr>
      <w:tr>
        <w:trPr/>
        <w:tc>
          <w:tcPr>
            <w:tcW w:type="dxa" w:w="245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7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7"/>
              </w:rPr>
              <w:t>负载</w:t>
            </w:r>
          </w:p>
        </w:tc>
        <w:tc>
          <w:tcPr>
            <w:tcW w:type="dxa" w:w="764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7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7"/>
              </w:rPr>
              <w:t>工件重量 + 夹具自重 + 重心与偏载影响 + 约定安全系数</w:t>
            </w:r>
          </w:p>
        </w:tc>
      </w:tr>
      <w:tr>
        <w:trPr/>
        <w:tc>
          <w:tcPr>
            <w:tcW w:type="dxa" w:w="245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7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7"/>
              </w:rPr>
              <w:t>作业范围</w:t>
            </w:r>
          </w:p>
        </w:tc>
        <w:tc>
          <w:tcPr>
            <w:tcW w:type="dxa" w:w="764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7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7"/>
              </w:rPr>
              <w:t>取件点、放件点、回转包络、避障空间与操作者站位</w:t>
            </w:r>
          </w:p>
        </w:tc>
      </w:tr>
      <w:tr>
        <w:trPr/>
        <w:tc>
          <w:tcPr>
            <w:tcW w:type="dxa" w:w="245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7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7"/>
              </w:rPr>
              <w:t>提升行程</w:t>
            </w:r>
          </w:p>
        </w:tc>
        <w:tc>
          <w:tcPr>
            <w:tcW w:type="dxa" w:w="764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7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7"/>
              </w:rPr>
              <w:t>最低取件高度、最高放件高度、工件与夹具空间、完整动作路径</w:t>
            </w:r>
          </w:p>
        </w:tc>
      </w:tr>
      <w:tr>
        <w:trPr/>
        <w:tc>
          <w:tcPr>
            <w:tcW w:type="dxa" w:w="245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7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7"/>
              </w:rPr>
              <w:t>安装方式</w:t>
            </w:r>
          </w:p>
        </w:tc>
        <w:tc>
          <w:tcPr>
            <w:tcW w:type="dxa" w:w="764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7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7"/>
              </w:rPr>
              <w:t>固定工位、多工位共用、地面空间、顶部结构与现场改造条件</w:t>
            </w:r>
          </w:p>
        </w:tc>
      </w:tr>
      <w:tr>
        <w:trPr/>
        <w:tc>
          <w:tcPr>
            <w:tcW w:type="dxa" w:w="245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7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7"/>
              </w:rPr>
              <w:t>夹具与动作</w:t>
            </w:r>
          </w:p>
        </w:tc>
        <w:tc>
          <w:tcPr>
            <w:tcW w:type="dxa" w:w="764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7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7"/>
              </w:rPr>
              <w:t>表面状态、允许夹持区、翻转/旋转要求、定位精度与释放方式</w:t>
            </w:r>
          </w:p>
        </w:tc>
      </w:tr>
    </w:tbl>
    <w:p>
      <w:pPr>
        <w:pStyle w:val="AUREKCallout"/>
        <w:widowControl/>
        <w:spacing w:after="120" w:line="312" w:lineRule="auto"/>
        <w:ind w:left="142" w:right="102"/>
      </w:pPr>
      <w:r>
        <w:rPr>
          <w:rFonts w:ascii="Microsoft YaHei" w:hAnsi="Microsoft YaHei" w:eastAsia="Microsoft YaHei" w:cs="Microsoft YaHei"/>
          <w:b/>
          <w:color w:val="000000"/>
          <w:sz w:val="19"/>
        </w:rPr>
        <w:t xml:space="preserve">气源提示  </w:t>
      </w:r>
      <w:r>
        <w:rPr>
          <w:rFonts w:ascii="Microsoft YaHei" w:hAnsi="Microsoft YaHei" w:eastAsia="Microsoft YaHei" w:cs="Microsoft YaHei"/>
          <w:color w:val="000000"/>
          <w:sz w:val="18"/>
        </w:rPr>
        <w:t>气动方案常用工作气压为 0.5-0.7 MPa（5-7 bar）；实际供气、过滤减压和接口要求以设备铭牌、技术方案与现场调试记录为准。</w:t>
      </w:r>
    </w:p>
    <w:p>
      <w:pPr>
        <w:widowControl/>
      </w:pPr>
      <w:r>
        <w:br w:type="page"/>
      </w:r>
    </w:p>
    <w:p>
      <w:pPr>
        <w:pStyle w:val="AUREKKicker"/>
        <w:widowControl/>
        <w:spacing w:after="120" w:line="312" w:lineRule="auto"/>
      </w:pPr>
      <w:r>
        <w:rPr>
          <w:color w:val="000000"/>
        </w:rPr>
        <w:t>SECTION 03  ·  ARK-S / M / O</w:t>
      </w:r>
    </w:p>
    <w:p>
      <w:pPr>
        <w:pStyle w:val="Heading1"/>
        <w:widowControl/>
      </w:pPr>
      <w:r>
        <w:rPr>
          <w:color w:val="000000"/>
          <w:u w:val="none"/>
        </w:rPr>
        <w:t>三种结构，先按现场布置快速分流</w:t>
      </w:r>
    </w:p>
    <w:p>
      <w:pPr>
        <w:pStyle w:val="AUREKLead"/>
        <w:widowControl/>
        <w:spacing w:after="120" w:line="312" w:lineRule="auto"/>
      </w:pPr>
      <w:r>
        <w:rPr>
          <w:color w:val="000000"/>
        </w:rPr>
        <w:t>安装形式用于确定设备在工位中的布置方式。负载、半径、行程和夹具还需结合具体工况设计；下表用于前期选择结构方向。</w:t>
      </w:r>
    </w:p>
    <w:tbl>
      <w:tblPr>
        <w:tblW w:type="dxa" w:w="10091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1900"/>
        <w:gridCol w:w="2730"/>
        <w:gridCol w:w="2730"/>
        <w:gridCol w:w="2731"/>
      </w:tblGrid>
      <w:tr>
        <w:trPr>
          <w:tblHeader w:val="true"/>
        </w:trPr>
        <w:tc>
          <w:tcPr>
            <w:tcW w:type="dxa" w:w="19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0E3B8C" w:val="clear"/>
          </w:tcPr>
          <w:p>
            <w:pPr>
              <w:keepNext/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</w: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  <w:t>对比维度</w:t>
            </w:r>
          </w:p>
        </w:tc>
        <w:tc>
          <w:tcPr>
            <w:tcW w:type="dxa" w:w="273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0E3B8C" w:val="clear"/>
          </w:tcPr>
          <w:p>
            <w:pPr>
              <w:keepNext/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</w: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  <w:t>ARK-S</w:t>
              <w:br/>
              <w:t>立柱式</w:t>
            </w:r>
          </w:p>
        </w:tc>
        <w:tc>
          <w:tcPr>
            <w:tcW w:type="dxa" w:w="273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0E3B8C" w:val="clear"/>
          </w:tcPr>
          <w:p>
            <w:pPr>
              <w:keepNext/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</w: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  <w:t>ARK-M</w:t>
              <w:br/>
              <w:t>移动式</w:t>
            </w:r>
          </w:p>
        </w:tc>
        <w:tc>
          <w:tcPr>
            <w:tcW w:type="dxa" w:w="273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0E3B8C" w:val="clear"/>
          </w:tcPr>
          <w:p>
            <w:pPr>
              <w:keepNext/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</w: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  <w:t>ARK-O</w:t>
              <w:br/>
              <w:t>倒挂式</w:t>
            </w:r>
          </w:p>
        </w:tc>
      </w:tr>
      <w:tr>
        <w:trPr/>
        <w:tc>
          <w:tcPr>
            <w:tcW w:type="dxa" w:w="19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5"/>
              </w:rPr>
              <w:t>产品形态</w:t>
            </w:r>
          </w:p>
        </w:tc>
        <w:tc>
          <w:tcPr>
            <w:tcW w:type="dxa" w:w="273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drawing>
                <wp:inline xmlns:a="http://schemas.openxmlformats.org/drawingml/2006/main" xmlns:pic="http://schemas.openxmlformats.org/drawingml/2006/picture">
                  <wp:extent cx="1404000" cy="1053000"/>
                  <wp:docPr id="5" name="Picture 5" descr="ARK-S 立柱式助力机械臂" title="ARK-S 立柱式助力机械臂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urek-assist-arm-column-mount-ark-s-01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000" cy="1053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3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drawing>
                <wp:inline xmlns:a="http://schemas.openxmlformats.org/drawingml/2006/main" xmlns:pic="http://schemas.openxmlformats.org/drawingml/2006/picture">
                  <wp:extent cx="1404000" cy="1053000"/>
                  <wp:docPr id="6" name="Picture 6" descr="ARK-M 移动式助力机械臂" title="ARK-M 移动式助力机械臂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urek-assist-arm-mobile-base-ark-m-01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000" cy="1053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3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drawing>
                <wp:inline xmlns:a="http://schemas.openxmlformats.org/drawingml/2006/main" xmlns:pic="http://schemas.openxmlformats.org/drawingml/2006/picture">
                  <wp:extent cx="1404000" cy="965250"/>
                  <wp:docPr id="7" name="Picture 7" descr="ARK-O 倒挂式助力机械臂" title="ARK-O 倒挂式助力机械臂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urek-assist-arm-overhead-mount-ark-o-01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000" cy="965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type="dxa" w:w="19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5"/>
              </w:rPr>
              <w:t>结构定位</w:t>
            </w:r>
          </w:p>
        </w:tc>
        <w:tc>
          <w:tcPr>
            <w:tcW w:type="dxa" w:w="273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固定工位的标准结构</w:t>
            </w:r>
          </w:p>
        </w:tc>
        <w:tc>
          <w:tcPr>
            <w:tcW w:type="dxa" w:w="273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多工位共用的移动底座结构</w:t>
            </w:r>
          </w:p>
        </w:tc>
        <w:tc>
          <w:tcPr>
            <w:tcW w:type="dxa" w:w="273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释放地面空间的顶部布置结构</w:t>
            </w:r>
          </w:p>
        </w:tc>
      </w:tr>
      <w:tr>
        <w:trPr/>
        <w:tc>
          <w:tcPr>
            <w:tcW w:type="dxa" w:w="19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5"/>
              </w:rPr>
              <w:t>安装 / 底座</w:t>
            </w:r>
          </w:p>
        </w:tc>
        <w:tc>
          <w:tcPr>
            <w:tcW w:type="dxa" w:w="273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地面固定 / 基础预埋可选</w:t>
            </w:r>
          </w:p>
        </w:tc>
        <w:tc>
          <w:tcPr>
            <w:tcW w:type="dxa" w:w="273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移动底座 / 配重底座</w:t>
            </w:r>
          </w:p>
        </w:tc>
        <w:tc>
          <w:tcPr>
            <w:tcW w:type="dxa" w:w="273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顶部固定 / 桁架 / 轨道系统</w:t>
            </w:r>
          </w:p>
        </w:tc>
      </w:tr>
      <w:tr>
        <w:trPr/>
        <w:tc>
          <w:tcPr>
            <w:tcW w:type="dxa" w:w="19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5"/>
              </w:rPr>
              <w:t>主要优势</w:t>
            </w:r>
          </w:p>
        </w:tc>
        <w:tc>
          <w:tcPr>
            <w:tcW w:type="dxa" w:w="273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结构稳定、占地清晰</w:t>
            </w:r>
          </w:p>
        </w:tc>
        <w:tc>
          <w:tcPr>
            <w:tcW w:type="dxa" w:w="273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可空载切换工位，底座落位固定后作业</w:t>
            </w:r>
          </w:p>
        </w:tc>
        <w:tc>
          <w:tcPr>
            <w:tcW w:type="dxa" w:w="273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节省地面空间、减少设备干涉</w:t>
            </w:r>
          </w:p>
        </w:tc>
      </w:tr>
      <w:tr>
        <w:trPr/>
        <w:tc>
          <w:tcPr>
            <w:tcW w:type="dxa" w:w="19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5"/>
              </w:rPr>
              <w:t>典型场景</w:t>
            </w:r>
          </w:p>
        </w:tc>
        <w:tc>
          <w:tcPr>
            <w:tcW w:type="dxa" w:w="273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固定工位搬运、上下料、装配辅助</w:t>
            </w:r>
          </w:p>
        </w:tc>
        <w:tc>
          <w:tcPr>
            <w:tcW w:type="dxa" w:w="273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多工位搬运、柔性生产、临时工位</w:t>
            </w:r>
          </w:p>
        </w:tc>
        <w:tc>
          <w:tcPr>
            <w:tcW w:type="dxa" w:w="273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密集工位、长距离转运、上下料</w:t>
            </w:r>
          </w:p>
        </w:tc>
      </w:tr>
      <w:tr>
        <w:trPr/>
        <w:tc>
          <w:tcPr>
            <w:tcW w:type="dxa" w:w="19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5"/>
              </w:rPr>
              <w:t>方案确认重点</w:t>
            </w:r>
          </w:p>
        </w:tc>
        <w:tc>
          <w:tcPr>
            <w:tcW w:type="dxa" w:w="273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基础条件、回转包络与固定工艺</w:t>
            </w:r>
          </w:p>
        </w:tc>
        <w:tc>
          <w:tcPr>
            <w:tcW w:type="dxa" w:w="273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地面平整、移动与停靠、底座稳定及制动</w:t>
            </w:r>
          </w:p>
        </w:tc>
        <w:tc>
          <w:tcPr>
            <w:tcW w:type="dxa" w:w="273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顶部承载结构、轨道/桁架与空间包络</w:t>
            </w:r>
          </w:p>
        </w:tc>
      </w:tr>
    </w:tbl>
    <w:p>
      <w:pPr>
        <w:pStyle w:val="AUREKCallout"/>
        <w:widowControl/>
        <w:spacing w:after="120" w:line="312" w:lineRule="auto"/>
        <w:ind w:left="142" w:right="102"/>
      </w:pPr>
      <w:r>
        <w:rPr>
          <w:rFonts w:ascii="Microsoft YaHei" w:hAnsi="Microsoft YaHei" w:eastAsia="Microsoft YaHei" w:cs="Microsoft YaHei"/>
          <w:b/>
          <w:color w:val="000000"/>
          <w:sz w:val="19"/>
        </w:rPr>
        <w:t>快速判断  固定工位可选 ARK-S；多工位分时共用可选 ARK-M，空载换位、底座落位固定后作业；地面受限、设备密集或需顶部覆盖可选 ARK-O。</w:t>
      </w:r>
    </w:p>
    <w:p>
      <w:pPr>
        <w:pStyle w:val="AUREKSource"/>
        <w:widowControl/>
        <w:spacing w:after="120" w:line="312" w:lineRule="auto"/>
      </w:pPr>
      <w:r>
        <w:rPr>
          <w:color w:val="000000"/>
        </w:rPr>
        <w:t>说明：下表概述结构形式与适用场景，具体规格及能力范围按项目配置确认。</w:t>
      </w:r>
    </w:p>
    <w:p>
      <w:pPr>
        <w:widowControl/>
      </w:pPr>
      <w:r>
        <w:br w:type="page"/>
      </w:r>
    </w:p>
    <w:p>
      <w:pPr>
        <w:pStyle w:val="AUREKKicker"/>
        <w:widowControl/>
        <w:spacing w:after="120" w:line="312" w:lineRule="auto"/>
      </w:pPr>
      <w:r>
        <w:rPr>
          <w:color w:val="000000"/>
        </w:rPr>
        <w:t>SECTION 04  ·  END EFFECTOR</w:t>
      </w:r>
    </w:p>
    <w:p>
      <w:pPr>
        <w:pStyle w:val="Heading1"/>
        <w:widowControl/>
      </w:pPr>
      <w:r>
        <w:rPr>
          <w:color w:val="000000"/>
          <w:u w:val="none"/>
        </w:rPr>
        <w:t>末端夹具兼顾稳定夹持、工件保护与定位</w:t>
      </w:r>
    </w:p>
    <w:p>
      <w:pPr>
        <w:pStyle w:val="AUREKLead"/>
        <w:widowControl/>
        <w:spacing w:after="120" w:line="312" w:lineRule="auto"/>
      </w:pPr>
      <w:r>
        <w:rPr>
          <w:color w:val="000000"/>
        </w:rPr>
        <w:t>夹具需要与工件外形、材质、表面状态、重心和搬运动作共同设计。相同重量的工件，也可能因为抓取面、偏载或姿态不同而采用完全不同的夹具。</w:t>
      </w:r>
    </w:p>
    <w:p>
      <w:pPr>
        <w:widowControl/>
        <w:spacing w:before="40" w:after="40"/>
        <w:jc w:val="center"/>
      </w:pPr>
      <w:r>
        <w:drawing>
          <wp:inline xmlns:a="http://schemas.openxmlformats.org/drawingml/2006/main" xmlns:pic="http://schemas.openxmlformats.org/drawingml/2006/picture">
            <wp:extent cx="3456000" cy="2592000"/>
            <wp:docPr id="8" name="Picture 8" descr="安睿克定制助力搬运夹具用于异形设备搬运" title="安睿克定制助力搬运夹具用于异形设备搬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rek-assist-arm-custom-handling-01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56000" cy="25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widowControl/>
        <w:spacing w:after="120" w:line="312" w:lineRule="auto"/>
        <w:jc w:val="center"/>
      </w:pPr>
      <w:r>
        <w:rPr>
          <w:color w:val="000000"/>
        </w:rPr>
        <w:t>非标夹具与整机、气路、操作扶手同步设计</w:t>
      </w:r>
    </w:p>
    <w:tbl>
      <w:tblPr>
        <w:tblW w:type="dxa" w:w="10091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200"/>
        <w:gridCol w:w="3700"/>
        <w:gridCol w:w="4191"/>
      </w:tblGrid>
      <w:tr>
        <w:trPr>
          <w:tblHeader w:val="true"/>
        </w:trPr>
        <w:tc>
          <w:tcPr>
            <w:tcW w:type="dxa" w:w="22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0E3B8C" w:val="clear"/>
          </w:tcPr>
          <w:p>
            <w:pPr>
              <w:keepNext/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</w: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  <w:t>夹具方向</w:t>
            </w:r>
          </w:p>
        </w:tc>
        <w:tc>
          <w:tcPr>
            <w:tcW w:type="dxa" w:w="37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0E3B8C" w:val="clear"/>
          </w:tcPr>
          <w:p>
            <w:pPr>
              <w:keepNext/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</w: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  <w:t>常见对象</w:t>
            </w:r>
          </w:p>
        </w:tc>
        <w:tc>
          <w:tcPr>
            <w:tcW w:type="dxa" w:w="419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0E3B8C" w:val="clear"/>
          </w:tcPr>
          <w:p>
            <w:pPr>
              <w:keepNext/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</w: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  <w:t>前期必须确认</w:t>
            </w:r>
          </w:p>
        </w:tc>
      </w:tr>
      <w:tr>
        <w:trPr/>
        <w:tc>
          <w:tcPr>
            <w:tcW w:type="dxa" w:w="22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  <w:t>真空吸盘</w:t>
            </w:r>
          </w:p>
        </w:tc>
        <w:tc>
          <w:tcPr>
            <w:tcW w:type="dxa" w:w="37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纸箱、箱体、板材、钣金和平面类产品</w:t>
            </w:r>
          </w:p>
        </w:tc>
        <w:tc>
          <w:tcPr>
            <w:tcW w:type="dxa" w:w="419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吸附面积、粗糙度、平整度、透气性、油污粉尘</w:t>
            </w:r>
          </w:p>
        </w:tc>
      </w:tr>
      <w:tr>
        <w:trPr/>
        <w:tc>
          <w:tcPr>
            <w:tcW w:type="dxa" w:w="22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  <w:t>机械夹爪 / 抱夹</w:t>
            </w:r>
          </w:p>
        </w:tc>
        <w:tc>
          <w:tcPr>
            <w:tcW w:type="dxa" w:w="37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异形件、壳体、结构件</w:t>
            </w:r>
          </w:p>
        </w:tc>
        <w:tc>
          <w:tcPr>
            <w:tcW w:type="dxa" w:w="419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可靠受力点、夹持力、变形与外观保护</w:t>
            </w:r>
          </w:p>
        </w:tc>
      </w:tr>
      <w:tr>
        <w:trPr/>
        <w:tc>
          <w:tcPr>
            <w:tcW w:type="dxa" w:w="22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  <w:t>吊钩 / 托举</w:t>
            </w:r>
          </w:p>
        </w:tc>
        <w:tc>
          <w:tcPr>
            <w:tcW w:type="dxa" w:w="37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有吊点或可从底部承托的工件</w:t>
            </w:r>
          </w:p>
        </w:tc>
        <w:tc>
          <w:tcPr>
            <w:tcW w:type="dxa" w:w="419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重心、脱钩风险、落位空间与防摆</w:t>
            </w:r>
          </w:p>
        </w:tc>
      </w:tr>
      <w:tr>
        <w:trPr/>
        <w:tc>
          <w:tcPr>
            <w:tcW w:type="dxa" w:w="22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  <w:t>内撑 / 气胀轴</w:t>
            </w:r>
          </w:p>
        </w:tc>
        <w:tc>
          <w:tcPr>
            <w:tcW w:type="dxa" w:w="37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筒状、内孔类或卷材类工件</w:t>
            </w:r>
          </w:p>
        </w:tc>
        <w:tc>
          <w:tcPr>
            <w:tcW w:type="dxa" w:w="419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内径范围、内壁强度、撑紧与释放逻辑</w:t>
            </w:r>
          </w:p>
        </w:tc>
      </w:tr>
      <w:tr>
        <w:trPr/>
        <w:tc>
          <w:tcPr>
            <w:tcW w:type="dxa" w:w="22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  <w:t>翻转夹具</w:t>
            </w:r>
          </w:p>
        </w:tc>
        <w:tc>
          <w:tcPr>
            <w:tcW w:type="dxa" w:w="37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需要旋转、姿态调整或装配定位的工件</w:t>
            </w:r>
          </w:p>
        </w:tc>
        <w:tc>
          <w:tcPr>
            <w:tcW w:type="dxa" w:w="419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组合重心、旋转轴、制动锁定与管线干涉</w:t>
            </w:r>
          </w:p>
        </w:tc>
      </w:tr>
      <w:tr>
        <w:trPr/>
        <w:tc>
          <w:tcPr>
            <w:tcW w:type="dxa" w:w="22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  <w:t>隔热专用夹具</w:t>
            </w:r>
          </w:p>
        </w:tc>
        <w:tc>
          <w:tcPr>
            <w:tcW w:type="dxa" w:w="37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高温铸件、热处理与压铸工件</w:t>
            </w:r>
          </w:p>
        </w:tc>
        <w:tc>
          <w:tcPr>
            <w:tcW w:type="dxa" w:w="419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温度、接触时间、隔热材料、气路与人员防护</w:t>
            </w:r>
          </w:p>
        </w:tc>
      </w:tr>
      <w:tr>
        <w:trPr/>
        <w:tc>
          <w:tcPr>
            <w:tcW w:type="dxa" w:w="22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  <w:t>专用复合夹具</w:t>
            </w:r>
          </w:p>
        </w:tc>
        <w:tc>
          <w:tcPr>
            <w:tcW w:type="dxa" w:w="37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异形、多规格或复杂动作工件</w:t>
            </w:r>
          </w:p>
        </w:tc>
        <w:tc>
          <w:tcPr>
            <w:tcW w:type="dxa" w:w="419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仿形、限位、托举、快换、防错与释放条件</w:t>
            </w:r>
          </w:p>
        </w:tc>
      </w:tr>
    </w:tbl>
    <w:p>
      <w:pPr>
        <w:pStyle w:val="AUREKCallout"/>
        <w:widowControl/>
        <w:spacing w:after="120" w:line="312" w:lineRule="auto"/>
        <w:ind w:left="142" w:right="102"/>
      </w:pPr>
      <w:r>
        <w:rPr>
          <w:rFonts w:ascii="Microsoft YaHei" w:hAnsi="Microsoft YaHei" w:eastAsia="Microsoft YaHei" w:cs="Microsoft YaHei"/>
          <w:b/>
          <w:color w:val="000000"/>
          <w:sz w:val="19"/>
        </w:rPr>
        <w:t xml:space="preserve">设计原则  </w:t>
      </w:r>
      <w:r>
        <w:rPr>
          <w:rFonts w:ascii="Microsoft YaHei" w:hAnsi="Microsoft YaHei" w:eastAsia="Microsoft YaHei" w:cs="Microsoft YaHei"/>
          <w:color w:val="000000"/>
          <w:sz w:val="18"/>
        </w:rPr>
        <w:t>夹具先确认可靠受力与保持方式，再讨论操作便利性；任何释放动作都应与工件已落稳、载荷已转移等安全条件相匹配。</w:t>
      </w:r>
    </w:p>
    <w:p>
      <w:pPr>
        <w:widowControl/>
      </w:pPr>
      <w:r>
        <w:br w:type="page"/>
      </w:r>
    </w:p>
    <w:p>
      <w:pPr>
        <w:pStyle w:val="AUREKKicker"/>
        <w:widowControl/>
        <w:spacing w:after="120" w:line="312" w:lineRule="auto"/>
      </w:pPr>
      <w:r>
        <w:rPr>
          <w:color w:val="000000"/>
        </w:rPr>
        <w:t>SECTION 05  ·  SAFETY BY DESIGN</w:t>
      </w:r>
    </w:p>
    <w:p>
      <w:pPr>
        <w:pStyle w:val="Heading1"/>
        <w:widowControl/>
      </w:pPr>
      <w:r>
        <w:rPr>
          <w:color w:val="000000"/>
          <w:u w:val="none"/>
        </w:rPr>
        <w:t>安全配置由风险与工况驱动</w:t>
      </w:r>
    </w:p>
    <w:p>
      <w:pPr>
        <w:pStyle w:val="AUREKLead"/>
        <w:widowControl/>
        <w:spacing w:after="120" w:line="312" w:lineRule="auto"/>
      </w:pPr>
      <w:r>
        <w:rPr>
          <w:color w:val="000000"/>
        </w:rPr>
        <w:t>助力搬运设备承载并移动工件，安全设计需要覆盖正常动作、误操作、气源/电源异常、夹具保持、制动与落位等状态。不同项目的保护层级应在方案和验收准则中明确。</w:t>
      </w:r>
    </w:p>
    <w:tbl>
      <w:tblPr>
        <w:tblW w:type="dxa" w:w="10091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320"/>
        <w:gridCol w:w="3880"/>
        <w:gridCol w:w="3891"/>
      </w:tblGrid>
      <w:tr>
        <w:trPr>
          <w:tblHeader w:val="true"/>
        </w:trPr>
        <w:tc>
          <w:tcPr>
            <w:tcW w:type="dxa" w:w="232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0E3B8C" w:val="clear"/>
          </w:tcPr>
          <w:p>
            <w:pPr>
              <w:keepNext/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</w: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  <w:t>安全方向</w:t>
            </w:r>
          </w:p>
        </w:tc>
        <w:tc>
          <w:tcPr>
            <w:tcW w:type="dxa" w:w="388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0E3B8C" w:val="clear"/>
          </w:tcPr>
          <w:p>
            <w:pPr>
              <w:keepNext/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</w: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  <w:t>解决的问题</w:t>
            </w:r>
          </w:p>
        </w:tc>
        <w:tc>
          <w:tcPr>
            <w:tcW w:type="dxa" w:w="389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0E3B8C" w:val="clear"/>
          </w:tcPr>
          <w:p>
            <w:pPr>
              <w:keepNext/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</w: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  <w:t>确认与验证</w:t>
            </w:r>
          </w:p>
        </w:tc>
      </w:tr>
      <w:tr>
        <w:trPr/>
        <w:tc>
          <w:tcPr>
            <w:tcW w:type="dxa" w:w="232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  <w:t>制动 / 锁止</w:t>
            </w:r>
          </w:p>
        </w:tc>
        <w:tc>
          <w:tcPr>
            <w:tcW w:type="dxa" w:w="388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减少关节摆动或意外自由转动，在指定位置保持稳定</w:t>
            </w:r>
          </w:p>
        </w:tc>
        <w:tc>
          <w:tcPr>
            <w:tcW w:type="dxa" w:w="389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按关节数量、操作频率、定位要求和风险配置</w:t>
            </w:r>
          </w:p>
        </w:tc>
      </w:tr>
      <w:tr>
        <w:trPr/>
        <w:tc>
          <w:tcPr>
            <w:tcW w:type="dxa" w:w="232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  <w:t>气源缓冲与失压保护</w:t>
            </w:r>
          </w:p>
        </w:tc>
        <w:tc>
          <w:tcPr>
            <w:tcW w:type="dxa" w:w="388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主气源异常时避免载荷突然坠落，可保持或受控缓降</w:t>
            </w:r>
          </w:p>
        </w:tc>
        <w:tc>
          <w:tcPr>
            <w:tcW w:type="dxa" w:w="389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通过模拟断气/失压工况验证实际行为</w:t>
            </w:r>
          </w:p>
        </w:tc>
      </w:tr>
      <w:tr>
        <w:trPr/>
        <w:tc>
          <w:tcPr>
            <w:tcW w:type="dxa" w:w="232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  <w:t>夹具保持与防误释放</w:t>
            </w:r>
          </w:p>
        </w:tc>
        <w:tc>
          <w:tcPr>
            <w:tcW w:type="dxa" w:w="388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约束悬空、未落稳、误触或异常状态下的释放</w:t>
            </w:r>
          </w:p>
        </w:tc>
        <w:tc>
          <w:tcPr>
            <w:tcW w:type="dxa" w:w="389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释放许可、负载转移确认和互锁逻辑按夹具定制</w:t>
            </w:r>
          </w:p>
        </w:tc>
      </w:tr>
      <w:tr>
        <w:trPr/>
        <w:tc>
          <w:tcPr>
            <w:tcW w:type="dxa" w:w="232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  <w:t>真空保持与压力监测</w:t>
            </w:r>
          </w:p>
        </w:tc>
        <w:tc>
          <w:tcPr>
            <w:tcW w:type="dxa" w:w="388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对真空系统监测吸附状态并延缓异常衰减</w:t>
            </w:r>
          </w:p>
        </w:tc>
        <w:tc>
          <w:tcPr>
            <w:tcW w:type="dxa" w:w="389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结合工件表面、泄漏特性与动作路径验证</w:t>
            </w:r>
          </w:p>
        </w:tc>
      </w:tr>
      <w:tr>
        <w:trPr/>
        <w:tc>
          <w:tcPr>
            <w:tcW w:type="dxa" w:w="232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  <w:t>限位 / 急停 / 安全互锁</w:t>
            </w:r>
          </w:p>
        </w:tc>
        <w:tc>
          <w:tcPr>
            <w:tcW w:type="dxa" w:w="388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限制危险动作并在异常时使设备进入安全状态</w:t>
            </w:r>
          </w:p>
        </w:tc>
        <w:tc>
          <w:tcPr>
            <w:tcW w:type="dxa" w:w="389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如项目配置电控，功能与可靠性需按风险确定并测试</w:t>
            </w:r>
          </w:p>
        </w:tc>
      </w:tr>
      <w:tr>
        <w:trPr/>
        <w:tc>
          <w:tcPr>
            <w:tcW w:type="dxa" w:w="232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  <w:t>环境与人员防护</w:t>
            </w:r>
          </w:p>
        </w:tc>
        <w:tc>
          <w:tcPr>
            <w:tcW w:type="dxa" w:w="388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应对高温、尖角、设备密集、交叉作业等现场风险</w:t>
            </w:r>
          </w:p>
        </w:tc>
        <w:tc>
          <w:tcPr>
            <w:tcW w:type="dxa" w:w="389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规划安全区域、人员站位、动线、隔热与必要防护</w:t>
            </w:r>
          </w:p>
        </w:tc>
      </w:tr>
    </w:tbl>
    <w:p>
      <w:pPr>
        <w:pStyle w:val="Heading2"/>
        <w:widowControl/>
      </w:pPr>
      <w:r>
        <w:rPr>
          <w:color w:val="000000"/>
          <w:u w:val="none"/>
        </w:rPr>
        <w:t>安全确认的三道关</w:t>
      </w:r>
    </w:p>
    <w:p>
      <w:pPr>
        <w:pStyle w:val="AUREKNumber"/>
        <w:widowControl/>
        <w:spacing w:after="120" w:line="312" w:lineRule="auto"/>
      </w:pPr>
      <w:r>
        <w:rPr>
          <w:rFonts w:ascii="Microsoft YaHei" w:hAnsi="Microsoft YaHei" w:eastAsia="Microsoft YaHei" w:cs="Microsoft YaHei"/>
          <w:b/>
          <w:color w:val="000000"/>
          <w:sz w:val="20"/>
        </w:rPr>
        <w:t>设计输入</w:t>
      </w:r>
      <w:r>
        <w:rPr>
          <w:rFonts w:ascii="Microsoft YaHei" w:hAnsi="Microsoft YaHei" w:eastAsia="Microsoft YaHei" w:cs="Microsoft YaHei"/>
          <w:color w:val="000000"/>
          <w:sz w:val="18"/>
        </w:rPr>
        <w:t xml:space="preserve">  明确工件、动作、人员站位、相邻设备与异常状态。</w:t>
      </w:r>
    </w:p>
    <w:p>
      <w:pPr>
        <w:pStyle w:val="AUREKNumber"/>
        <w:widowControl/>
        <w:spacing w:after="120" w:line="312" w:lineRule="auto"/>
      </w:pPr>
      <w:r>
        <w:rPr>
          <w:rFonts w:ascii="Microsoft YaHei" w:hAnsi="Microsoft YaHei" w:eastAsia="Microsoft YaHei" w:cs="Microsoft YaHei"/>
          <w:b/>
          <w:color w:val="000000"/>
          <w:sz w:val="20"/>
        </w:rPr>
        <w:t>功能验证</w:t>
      </w:r>
      <w:r>
        <w:rPr>
          <w:rFonts w:ascii="Microsoft YaHei" w:hAnsi="Microsoft YaHei" w:eastAsia="Microsoft YaHei" w:cs="Microsoft YaHei"/>
          <w:color w:val="000000"/>
          <w:sz w:val="18"/>
        </w:rPr>
        <w:t xml:space="preserve">  空载、负载、夹具保持、制动、断气/断电和误操作场景逐项测试。</w:t>
      </w:r>
    </w:p>
    <w:p>
      <w:pPr>
        <w:pStyle w:val="AUREKNumber"/>
        <w:widowControl/>
        <w:spacing w:after="120" w:line="312" w:lineRule="auto"/>
      </w:pPr>
      <w:r>
        <w:rPr>
          <w:rFonts w:ascii="Microsoft YaHei" w:hAnsi="Microsoft YaHei" w:eastAsia="Microsoft YaHei" w:cs="Microsoft YaHei"/>
          <w:b/>
          <w:color w:val="000000"/>
          <w:sz w:val="20"/>
        </w:rPr>
        <w:t>交付固化</w:t>
      </w:r>
      <w:r>
        <w:rPr>
          <w:rFonts w:ascii="Microsoft YaHei" w:hAnsi="Microsoft YaHei" w:eastAsia="Microsoft YaHei" w:cs="Microsoft YaHei"/>
          <w:color w:val="000000"/>
          <w:sz w:val="18"/>
        </w:rPr>
        <w:t xml:space="preserve">  把配置、判定准则、操作要求与异常处置写入技术协议、说明书和验收记录。</w:t>
      </w:r>
    </w:p>
    <w:p>
      <w:pPr>
        <w:pStyle w:val="AUREKCallout"/>
        <w:widowControl/>
        <w:spacing w:after="120" w:line="312" w:lineRule="auto"/>
        <w:ind w:left="142" w:right="102"/>
      </w:pPr>
      <w:r>
        <w:rPr>
          <w:rFonts w:ascii="Microsoft YaHei" w:hAnsi="Microsoft YaHei" w:eastAsia="Microsoft YaHei" w:cs="Microsoft YaHei"/>
          <w:b/>
          <w:color w:val="000000"/>
          <w:sz w:val="19"/>
        </w:rPr>
        <w:t>安全配置确认  上表列出可选保护措施。各项目应通过风险评估确定所需功能、性能与验收方法，并由双方形成确认文件；未列入确认配置的措施不视为设备已具备。</w:t>
      </w:r>
    </w:p>
    <w:p>
      <w:pPr>
        <w:widowControl/>
      </w:pPr>
      <w:r>
        <w:br w:type="page"/>
      </w:r>
    </w:p>
    <w:p>
      <w:pPr>
        <w:pStyle w:val="AUREKKicker"/>
        <w:widowControl/>
        <w:spacing w:after="120" w:line="312" w:lineRule="auto"/>
      </w:pPr>
      <w:r>
        <w:rPr>
          <w:color w:val="000000"/>
        </w:rPr>
        <w:t>SECTION 06  ·  APPLICATION MAP</w:t>
      </w:r>
    </w:p>
    <w:p>
      <w:pPr>
        <w:pStyle w:val="Heading1"/>
        <w:widowControl/>
      </w:pPr>
      <w:r>
        <w:rPr>
          <w:color w:val="000000"/>
          <w:u w:val="none"/>
        </w:rPr>
        <w:t>从动作与风险出发，而不是先套型号</w:t>
      </w:r>
    </w:p>
    <w:p>
      <w:pPr>
        <w:pStyle w:val="AUREKLead"/>
        <w:widowControl/>
        <w:spacing w:after="120" w:line="312" w:lineRule="auto"/>
      </w:pPr>
      <w:r>
        <w:rPr>
          <w:color w:val="000000"/>
        </w:rPr>
        <w:t>同一行业的工件重量、节拍、姿态和现场约束可能不同。应结合实际工况选择机型与配置，以下场景用于梳理设计重点。</w:t>
      </w:r>
    </w:p>
    <w:p>
      <w:pPr>
        <w:widowControl/>
        <w:spacing w:before="20" w:after="40"/>
        <w:jc w:val="center"/>
      </w:pPr>
      <w:r>
        <w:drawing>
          <wp:inline xmlns:a="http://schemas.openxmlformats.org/drawingml/2006/main" xmlns:pic="http://schemas.openxmlformats.org/drawingml/2006/picture">
            <wp:extent cx="1962000" cy="1471500"/>
            <wp:docPr id="9" name="Picture 9" descr="安睿克助力机械臂用于汽车顶棚翻转装配" title="安睿克助力机械臂用于汽车顶棚翻转装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rek-assist-arm-auto-headliner-flip-assembly-01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62000" cy="14715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drawing>
          <wp:inline xmlns:a="http://schemas.openxmlformats.org/drawingml/2006/main" xmlns:pic="http://schemas.openxmlformats.org/drawingml/2006/picture">
            <wp:extent cx="1962000" cy="1569600"/>
            <wp:docPr id="10" name="Picture 10" descr="安睿克助力机械臂用于新能源电池模组搬运装配" title="安睿克助力机械臂用于新能源电池模组搬运装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rek-assist-arm-battery-module-assembly-01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62000" cy="15696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drawing>
          <wp:inline xmlns:a="http://schemas.openxmlformats.org/drawingml/2006/main" xmlns:pic="http://schemas.openxmlformats.org/drawingml/2006/picture">
            <wp:extent cx="1962000" cy="1471500"/>
            <wp:docPr id="11" name="Picture 11" descr="安睿克助力机械臂用于高温铸件搬运" title="安睿克助力机械臂用于高温铸件搬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rek-assist-arm-hot-casting-handling-01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62000" cy="1471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widowControl/>
        <w:spacing w:after="120" w:line="312" w:lineRule="auto"/>
        <w:jc w:val="center"/>
      </w:pPr>
      <w:r>
        <w:rPr>
          <w:color w:val="000000"/>
        </w:rPr>
        <w:t>汽车内饰翻转装配   |   新能源电池搬运   |   高温工件搬运</w:t>
      </w:r>
    </w:p>
    <w:tbl>
      <w:tblPr>
        <w:tblW w:type="dxa" w:w="10091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1800"/>
        <w:gridCol w:w="2850"/>
        <w:gridCol w:w="2470"/>
        <w:gridCol w:w="2971"/>
      </w:tblGrid>
      <w:tr>
        <w:trPr>
          <w:tblHeader w:val="true"/>
        </w:trPr>
        <w:tc>
          <w:tcPr>
            <w:tcW w:type="dxa" w:w="18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0E3B8C" w:val="clear"/>
          </w:tcPr>
          <w:p>
            <w:pPr>
              <w:keepNext/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</w: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  <w:t>场景</w:t>
            </w:r>
          </w:p>
        </w:tc>
        <w:tc>
          <w:tcPr>
            <w:tcW w:type="dxa" w:w="285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0E3B8C" w:val="clear"/>
          </w:tcPr>
          <w:p>
            <w:pPr>
              <w:keepNext/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</w: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  <w:t>常见对象</w:t>
            </w:r>
          </w:p>
        </w:tc>
        <w:tc>
          <w:tcPr>
            <w:tcW w:type="dxa" w:w="247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0E3B8C" w:val="clear"/>
          </w:tcPr>
          <w:p>
            <w:pPr>
              <w:keepNext/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</w: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  <w:t>主要动作</w:t>
            </w:r>
          </w:p>
        </w:tc>
        <w:tc>
          <w:tcPr>
            <w:tcW w:type="dxa" w:w="297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0E3B8C" w:val="clear"/>
          </w:tcPr>
          <w:p>
            <w:pPr>
              <w:keepNext/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</w: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  <w:t>方案重点</w:t>
            </w:r>
          </w:p>
        </w:tc>
      </w:tr>
      <w:tr>
        <w:trPr/>
        <w:tc>
          <w:tcPr>
            <w:tcW w:type="dxa" w:w="18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5"/>
              </w:rPr>
              <w:t>汽车零部件</w:t>
            </w:r>
          </w:p>
        </w:tc>
        <w:tc>
          <w:tcPr>
            <w:tcW w:type="dxa" w:w="285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座椅、顶棚、钣金、壳体、电池仓</w:t>
            </w:r>
          </w:p>
        </w:tc>
        <w:tc>
          <w:tcPr>
            <w:tcW w:type="dxa" w:w="247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抓取、翻转、转运、装配定位</w:t>
            </w:r>
          </w:p>
        </w:tc>
        <w:tc>
          <w:tcPr>
            <w:tcW w:type="dxa" w:w="297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姿态、定位、外观保护与夹具安全</w:t>
            </w:r>
          </w:p>
        </w:tc>
      </w:tr>
      <w:tr>
        <w:trPr/>
        <w:tc>
          <w:tcPr>
            <w:tcW w:type="dxa" w:w="18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5"/>
              </w:rPr>
              <w:t>通用制造</w:t>
            </w:r>
          </w:p>
        </w:tc>
        <w:tc>
          <w:tcPr>
            <w:tcW w:type="dxa" w:w="285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电机定子、重型零件、工作辊等</w:t>
            </w:r>
          </w:p>
        </w:tc>
        <w:tc>
          <w:tcPr>
            <w:tcW w:type="dxa" w:w="247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上下料、跨工位转运、装配辅助</w:t>
            </w:r>
          </w:p>
        </w:tc>
        <w:tc>
          <w:tcPr>
            <w:tcW w:type="dxa" w:w="297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组合重量、重心、半径与取放空间</w:t>
            </w:r>
          </w:p>
        </w:tc>
      </w:tr>
      <w:tr>
        <w:trPr/>
        <w:tc>
          <w:tcPr>
            <w:tcW w:type="dxa" w:w="18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5"/>
              </w:rPr>
              <w:t>包装 / 板材</w:t>
            </w:r>
          </w:p>
        </w:tc>
        <w:tc>
          <w:tcPr>
            <w:tcW w:type="dxa" w:w="285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纸箱、箱体、板材、钣金</w:t>
            </w:r>
          </w:p>
        </w:tc>
        <w:tc>
          <w:tcPr>
            <w:tcW w:type="dxa" w:w="247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真空吸附、提升、平移、码放</w:t>
            </w:r>
          </w:p>
        </w:tc>
        <w:tc>
          <w:tcPr>
            <w:tcW w:type="dxa" w:w="297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表面、透气性、吸附面积与节拍</w:t>
            </w:r>
          </w:p>
        </w:tc>
      </w:tr>
      <w:tr>
        <w:trPr/>
        <w:tc>
          <w:tcPr>
            <w:tcW w:type="dxa" w:w="18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5"/>
              </w:rPr>
              <w:t>新能源电池</w:t>
            </w:r>
          </w:p>
        </w:tc>
        <w:tc>
          <w:tcPr>
            <w:tcW w:type="dxa" w:w="285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模组、电池包、托盘与底仓</w:t>
            </w:r>
          </w:p>
        </w:tc>
        <w:tc>
          <w:tcPr>
            <w:tcW w:type="dxa" w:w="247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搬运、姿态调整、合装</w:t>
            </w:r>
          </w:p>
        </w:tc>
        <w:tc>
          <w:tcPr>
            <w:tcW w:type="dxa" w:w="297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多规格、防错、落位与异常保持</w:t>
            </w:r>
          </w:p>
        </w:tc>
      </w:tr>
      <w:tr>
        <w:trPr/>
        <w:tc>
          <w:tcPr>
            <w:tcW w:type="dxa" w:w="18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5"/>
              </w:rPr>
              <w:t>高温工件</w:t>
            </w:r>
          </w:p>
        </w:tc>
        <w:tc>
          <w:tcPr>
            <w:tcW w:type="dxa" w:w="285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铸件、热处理与压铸件</w:t>
            </w:r>
          </w:p>
        </w:tc>
        <w:tc>
          <w:tcPr>
            <w:tcW w:type="dxa" w:w="247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取件、转运、上下料</w:t>
            </w:r>
          </w:p>
        </w:tc>
        <w:tc>
          <w:tcPr>
            <w:tcW w:type="dxa" w:w="297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隔热、耐温、气路保护与人机距离</w:t>
            </w:r>
          </w:p>
        </w:tc>
      </w:tr>
      <w:tr>
        <w:trPr/>
        <w:tc>
          <w:tcPr>
            <w:tcW w:type="dxa" w:w="18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5"/>
              </w:rPr>
              <w:t>异形 / 特殊工况</w:t>
            </w:r>
          </w:p>
        </w:tc>
        <w:tc>
          <w:tcPr>
            <w:tcW w:type="dxa" w:w="285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非规则工件、特殊环境或复杂动线</w:t>
            </w:r>
          </w:p>
        </w:tc>
        <w:tc>
          <w:tcPr>
            <w:tcW w:type="dxa" w:w="247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专用抓取与复合动作</w:t>
            </w:r>
          </w:p>
        </w:tc>
        <w:tc>
          <w:tcPr>
            <w:tcW w:type="dxa" w:w="297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受力点、干涉、环境和整套非标设计</w:t>
            </w:r>
          </w:p>
        </w:tc>
      </w:tr>
    </w:tbl>
    <w:p>
      <w:pPr>
        <w:pStyle w:val="AUREKSource"/>
        <w:widowControl/>
        <w:spacing w:after="120" w:line="312" w:lineRule="auto"/>
      </w:pPr>
      <w:r>
        <w:rPr>
          <w:color w:val="000000"/>
        </w:rPr>
        <w:t>图片与场景名称来自安睿克官网公开产品、案例与解决方案页面；未引用效率、节拍或收益数字。</w:t>
      </w:r>
    </w:p>
    <w:p>
      <w:pPr>
        <w:widowControl/>
      </w:pPr>
      <w:r>
        <w:br w:type="page"/>
      </w:r>
    </w:p>
    <w:p>
      <w:pPr>
        <w:pStyle w:val="AUREKKicker"/>
        <w:widowControl/>
        <w:spacing w:after="120" w:line="312" w:lineRule="auto"/>
      </w:pPr>
      <w:r>
        <w:rPr>
          <w:color w:val="000000"/>
        </w:rPr>
        <w:t>SECTION 07  ·  QUICK SELECTION</w:t>
      </w:r>
    </w:p>
    <w:p>
      <w:pPr>
        <w:pStyle w:val="Heading1"/>
        <w:widowControl/>
      </w:pPr>
      <w:r>
        <w:rPr>
          <w:color w:val="000000"/>
          <w:u w:val="none"/>
        </w:rPr>
        <w:t>关键工况信息，帮助工程师判断方案方向</w:t>
      </w:r>
    </w:p>
    <w:p>
      <w:pPr>
        <w:pStyle w:val="AUREKLead"/>
        <w:widowControl/>
        <w:spacing w:after="120" w:line="312" w:lineRule="auto"/>
      </w:pPr>
      <w:r>
        <w:rPr>
          <w:color w:val="000000"/>
        </w:rPr>
        <w:t>现有照片可用于初步沟通；正式设计前需补齐尺寸、重量、节拍、安装空间和安全要求，以明确结构、夹具及报价范围。</w:t>
      </w:r>
    </w:p>
    <w:tbl>
      <w:tblPr>
        <w:tblW w:type="dxa" w:w="10091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300"/>
        <w:gridCol w:w="7791"/>
      </w:tblGrid>
      <w:tr>
        <w:trPr>
          <w:tblHeader w:val="true"/>
        </w:trPr>
        <w:tc>
          <w:tcPr>
            <w:tcW w:type="dxa" w:w="23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0E3B8C" w:val="clear"/>
          </w:tcPr>
          <w:p>
            <w:pPr>
              <w:keepNext/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</w: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  <w:t>信息组</w:t>
            </w:r>
          </w:p>
        </w:tc>
        <w:tc>
          <w:tcPr>
            <w:tcW w:type="dxa" w:w="779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0E3B8C" w:val="clear"/>
          </w:tcPr>
          <w:p>
            <w:pPr>
              <w:keepNext/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</w: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  <w:t>建议提供的内容</w:t>
            </w:r>
          </w:p>
        </w:tc>
      </w:tr>
      <w:tr>
        <w:trPr/>
        <w:tc>
          <w:tcPr>
            <w:tcW w:type="dxa" w:w="23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7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7"/>
              </w:rPr>
              <w:t>工件</w:t>
            </w:r>
          </w:p>
        </w:tc>
        <w:tc>
          <w:tcPr>
            <w:tcW w:type="dxa" w:w="779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7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7"/>
              </w:rPr>
              <w:t>名称、重量、尺寸、重心、材质、表面状态、温度、允许夹持区</w:t>
            </w:r>
          </w:p>
        </w:tc>
      </w:tr>
      <w:tr>
        <w:trPr/>
        <w:tc>
          <w:tcPr>
            <w:tcW w:type="dxa" w:w="23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7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7"/>
              </w:rPr>
              <w:t>动作</w:t>
            </w:r>
          </w:p>
        </w:tc>
        <w:tc>
          <w:tcPr>
            <w:tcW w:type="dxa" w:w="779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7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7"/>
              </w:rPr>
              <w:t>取件与放件姿态；升降、平移、旋转、翻转、装配定位等要求</w:t>
            </w:r>
          </w:p>
        </w:tc>
      </w:tr>
      <w:tr>
        <w:trPr/>
        <w:tc>
          <w:tcPr>
            <w:tcW w:type="dxa" w:w="23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7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7"/>
              </w:rPr>
              <w:t>取放位置</w:t>
            </w:r>
          </w:p>
        </w:tc>
        <w:tc>
          <w:tcPr>
            <w:tcW w:type="dxa" w:w="779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7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7"/>
              </w:rPr>
              <w:t>最低/最高高度、水平距离、方向变化、定位基准与容许偏差</w:t>
            </w:r>
          </w:p>
        </w:tc>
      </w:tr>
      <w:tr>
        <w:trPr/>
        <w:tc>
          <w:tcPr>
            <w:tcW w:type="dxa" w:w="23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7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7"/>
              </w:rPr>
              <w:t>节拍与使用</w:t>
            </w:r>
          </w:p>
        </w:tc>
        <w:tc>
          <w:tcPr>
            <w:tcW w:type="dxa" w:w="779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7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7"/>
              </w:rPr>
              <w:t>每小时搬运次数、每日工作时长、操作人数、换型频率</w:t>
            </w:r>
          </w:p>
        </w:tc>
      </w:tr>
      <w:tr>
        <w:trPr/>
        <w:tc>
          <w:tcPr>
            <w:tcW w:type="dxa" w:w="23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7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7"/>
              </w:rPr>
              <w:t>现场空间</w:t>
            </w:r>
          </w:p>
        </w:tc>
        <w:tc>
          <w:tcPr>
            <w:tcW w:type="dxa" w:w="779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7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7"/>
              </w:rPr>
              <w:t>工位布局、立柱/顶部条件、周边设备、通道、叉车与人员动线</w:t>
            </w:r>
          </w:p>
        </w:tc>
      </w:tr>
      <w:tr>
        <w:trPr/>
        <w:tc>
          <w:tcPr>
            <w:tcW w:type="dxa" w:w="23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7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7"/>
              </w:rPr>
              <w:t>能源与环境</w:t>
            </w:r>
          </w:p>
        </w:tc>
        <w:tc>
          <w:tcPr>
            <w:tcW w:type="dxa" w:w="779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7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7"/>
              </w:rPr>
              <w:t>气源/电源条件；高温、粉尘、油污、洁净、防爆等特殊要求</w:t>
            </w:r>
          </w:p>
        </w:tc>
      </w:tr>
      <w:tr>
        <w:trPr/>
        <w:tc>
          <w:tcPr>
            <w:tcW w:type="dxa" w:w="23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7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7"/>
              </w:rPr>
              <w:t>安全要求</w:t>
            </w:r>
          </w:p>
        </w:tc>
        <w:tc>
          <w:tcPr>
            <w:tcW w:type="dxa" w:w="779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7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7"/>
              </w:rPr>
              <w:t>夹具保持、防坠、防误释放、制动、急停、限位、异常处置与验收要求</w:t>
            </w:r>
          </w:p>
        </w:tc>
      </w:tr>
    </w:tbl>
    <w:p>
      <w:pPr>
        <w:pStyle w:val="Heading2"/>
        <w:widowControl/>
      </w:pPr>
      <w:r>
        <w:rPr>
          <w:color w:val="000000"/>
          <w:u w:val="none"/>
        </w:rPr>
        <w:t>安装结构快速分流</w:t>
      </w:r>
    </w:p>
    <w:p>
      <w:pPr>
        <w:pStyle w:val="AUREKBullet"/>
        <w:widowControl/>
        <w:spacing w:after="120" w:line="312" w:lineRule="auto"/>
      </w:pPr>
      <w:r>
        <w:rPr>
          <w:rFonts w:ascii="Microsoft YaHei" w:hAnsi="Microsoft YaHei" w:eastAsia="Microsoft YaHei" w:cs="Microsoft YaHei"/>
          <w:b/>
          <w:color w:val="000000"/>
          <w:sz w:val="18"/>
        </w:rPr>
        <w:t>ARK-S 方向：</w:t>
      </w:r>
      <w:r>
        <w:rPr>
          <w:rFonts w:ascii="Microsoft YaHei" w:hAnsi="Microsoft YaHei" w:eastAsia="Microsoft YaHei" w:cs="Microsoft YaHei"/>
          <w:color w:val="000000"/>
          <w:sz w:val="18"/>
        </w:rPr>
        <w:t>固定工位、可做可靠基础并长期在同一区域使用。</w:t>
      </w:r>
    </w:p>
    <w:p>
      <w:pPr>
        <w:pStyle w:val="AUREKBullet"/>
        <w:widowControl/>
        <w:spacing w:after="120" w:line="312" w:lineRule="auto"/>
      </w:pPr>
      <w:r>
        <w:rPr>
          <w:rFonts w:ascii="Microsoft YaHei" w:hAnsi="Microsoft YaHei" w:eastAsia="Microsoft YaHei" w:cs="Microsoft YaHei"/>
          <w:b/>
          <w:color w:val="000000"/>
          <w:sz w:val="18"/>
        </w:rPr>
        <w:t>ARK-M 方向：多个工位分时共用、产线布置调整或不便固定安装；设备空载换位，底座落位固定后作业。</w:t>
      </w:r>
    </w:p>
    <w:p>
      <w:pPr>
        <w:pStyle w:val="AUREKBullet"/>
        <w:widowControl/>
        <w:spacing w:after="120" w:line="312" w:lineRule="auto"/>
      </w:pPr>
      <w:r>
        <w:rPr>
          <w:rFonts w:ascii="Microsoft YaHei" w:hAnsi="Microsoft YaHei" w:eastAsia="Microsoft YaHei" w:cs="Microsoft YaHei"/>
          <w:b/>
          <w:color w:val="000000"/>
          <w:sz w:val="18"/>
        </w:rPr>
        <w:t>ARK-O 方向：</w:t>
      </w:r>
      <w:r>
        <w:rPr>
          <w:rFonts w:ascii="Microsoft YaHei" w:hAnsi="Microsoft YaHei" w:eastAsia="Microsoft YaHei" w:cs="Microsoft YaHei"/>
          <w:color w:val="000000"/>
          <w:sz w:val="18"/>
        </w:rPr>
        <w:t>地面空间受限、设备密集或需要顶部轨道覆盖。</w:t>
      </w:r>
    </w:p>
    <w:p>
      <w:pPr>
        <w:pStyle w:val="AUREKCallout"/>
        <w:widowControl/>
        <w:spacing w:after="120" w:line="312" w:lineRule="auto"/>
        <w:ind w:left="142" w:right="102"/>
      </w:pPr>
      <w:r>
        <w:rPr>
          <w:rFonts w:ascii="Microsoft YaHei" w:hAnsi="Microsoft YaHei" w:eastAsia="Microsoft YaHei" w:cs="Microsoft YaHei"/>
          <w:b/>
          <w:color w:val="000000"/>
          <w:sz w:val="19"/>
        </w:rPr>
        <w:t xml:space="preserve">同步校核  </w:t>
      </w:r>
      <w:r>
        <w:rPr>
          <w:rFonts w:ascii="Microsoft YaHei" w:hAnsi="Microsoft YaHei" w:eastAsia="Microsoft YaHei" w:cs="Microsoft YaHei"/>
          <w:color w:val="000000"/>
          <w:sz w:val="18"/>
        </w:rPr>
        <w:t>型号方向确定后，还要重新核对工件 + 夹具综合负载、全路径作业范围、最高/最低取放高度、夹具保持与安全配置。</w:t>
      </w:r>
    </w:p>
    <w:p>
      <w:pPr>
        <w:widowControl/>
      </w:pPr>
      <w:r>
        <w:br w:type="page"/>
      </w:r>
    </w:p>
    <w:p>
      <w:pPr>
        <w:pStyle w:val="AUREKKicker"/>
        <w:widowControl/>
        <w:spacing w:after="120" w:line="312" w:lineRule="auto"/>
      </w:pPr>
      <w:r>
        <w:rPr>
          <w:color w:val="000000"/>
        </w:rPr>
        <w:t>SECTION 08  ·  ENGINEERING DELIVERY</w:t>
      </w:r>
    </w:p>
    <w:p>
      <w:pPr>
        <w:pStyle w:val="Heading1"/>
        <w:widowControl/>
      </w:pPr>
      <w:r>
        <w:rPr>
          <w:color w:val="000000"/>
          <w:u w:val="none"/>
        </w:rPr>
        <w:t>从需求到落地的四个阶段</w:t>
      </w:r>
    </w:p>
    <w:p>
      <w:pPr>
        <w:pStyle w:val="AUREKLead"/>
        <w:widowControl/>
        <w:spacing w:after="120" w:line="312" w:lineRule="auto"/>
      </w:pPr>
      <w:r>
        <w:rPr>
          <w:color w:val="000000"/>
        </w:rPr>
        <w:t>每个项目按分析、设计、评审和生产推进，关键节点通过文档、图纸和验收记录固化，减少现场理解偏差。</w:t>
      </w:r>
    </w:p>
    <w:p>
      <w:pPr>
        <w:pStyle w:val="AUREKNumber"/>
        <w:widowControl/>
        <w:spacing w:after="120" w:line="312" w:lineRule="auto"/>
      </w:pPr>
      <w:r>
        <w:rPr>
          <w:rFonts w:ascii="Microsoft YaHei" w:hAnsi="Microsoft YaHei" w:eastAsia="Microsoft YaHei" w:cs="Microsoft YaHei"/>
          <w:b/>
          <w:color w:val="000000"/>
          <w:sz w:val="20"/>
        </w:rPr>
        <w:t>分析</w:t>
      </w:r>
      <w:r>
        <w:rPr>
          <w:rFonts w:ascii="Microsoft YaHei" w:hAnsi="Microsoft YaHei" w:eastAsia="Microsoft YaHei" w:cs="Microsoft YaHei"/>
          <w:color w:val="000000"/>
          <w:sz w:val="18"/>
        </w:rPr>
        <w:t xml:space="preserve">  了解工件重量、尺寸、抓取面、动作路径与节拍，对现场工况进行评估。</w:t>
      </w:r>
    </w:p>
    <w:p>
      <w:pPr>
        <w:pStyle w:val="AUREKNumber"/>
        <w:widowControl/>
        <w:spacing w:after="120" w:line="312" w:lineRule="auto"/>
      </w:pPr>
      <w:r>
        <w:rPr>
          <w:rFonts w:ascii="Microsoft YaHei" w:hAnsi="Microsoft YaHei" w:eastAsia="Microsoft YaHei" w:cs="Microsoft YaHei"/>
          <w:b/>
          <w:color w:val="000000"/>
          <w:sz w:val="20"/>
        </w:rPr>
        <w:t>设计</w:t>
      </w:r>
      <w:r>
        <w:rPr>
          <w:rFonts w:ascii="Microsoft YaHei" w:hAnsi="Microsoft YaHei" w:eastAsia="Microsoft YaHei" w:cs="Microsoft YaHei"/>
          <w:color w:val="000000"/>
          <w:sz w:val="18"/>
        </w:rPr>
        <w:t xml:space="preserve">  开展功能分析、3D CAD 设计、技术方案研究、仿真验证与原型评审。</w:t>
      </w:r>
    </w:p>
    <w:p>
      <w:pPr>
        <w:pStyle w:val="AUREKNumber"/>
        <w:widowControl/>
        <w:spacing w:after="120" w:line="312" w:lineRule="auto"/>
      </w:pPr>
      <w:r>
        <w:rPr>
          <w:rFonts w:ascii="Microsoft YaHei" w:hAnsi="Microsoft YaHei" w:eastAsia="Microsoft YaHei" w:cs="Microsoft YaHei"/>
          <w:b/>
          <w:color w:val="000000"/>
          <w:sz w:val="20"/>
        </w:rPr>
        <w:t>评审</w:t>
      </w:r>
      <w:r>
        <w:rPr>
          <w:rFonts w:ascii="Microsoft YaHei" w:hAnsi="Microsoft YaHei" w:eastAsia="Microsoft YaHei" w:cs="Microsoft YaHei"/>
          <w:color w:val="000000"/>
          <w:sz w:val="18"/>
        </w:rPr>
        <w:t xml:space="preserve">  在项目开发过程中持续控制与评审，确认方案符合需求和图纸要求。</w:t>
      </w:r>
    </w:p>
    <w:p>
      <w:pPr>
        <w:pStyle w:val="AUREKNumber"/>
        <w:widowControl/>
        <w:spacing w:after="120" w:line="312" w:lineRule="auto"/>
      </w:pPr>
      <w:r>
        <w:rPr>
          <w:rFonts w:ascii="Microsoft YaHei" w:hAnsi="Microsoft YaHei" w:eastAsia="Microsoft YaHei" w:cs="Microsoft YaHei"/>
          <w:b/>
          <w:color w:val="000000"/>
          <w:sz w:val="20"/>
        </w:rPr>
        <w:t>生产</w:t>
      </w:r>
      <w:r>
        <w:rPr>
          <w:rFonts w:ascii="Microsoft YaHei" w:hAnsi="Microsoft YaHei" w:eastAsia="Microsoft YaHei" w:cs="Microsoft YaHei"/>
          <w:color w:val="000000"/>
          <w:sz w:val="18"/>
        </w:rPr>
        <w:t xml:space="preserve">  完成制造、装配和整机出厂前测试，并安排到场安装与调试。</w:t>
      </w:r>
    </w:p>
    <w:p>
      <w:pPr>
        <w:pStyle w:val="AUREKCallout"/>
        <w:widowControl/>
        <w:spacing w:after="120" w:line="312" w:lineRule="auto"/>
        <w:ind w:left="142" w:right="102"/>
      </w:pPr>
      <w:r>
        <w:rPr>
          <w:rFonts w:ascii="Microsoft YaHei" w:hAnsi="Microsoft YaHei" w:eastAsia="Microsoft YaHei" w:cs="Microsoft YaHei"/>
          <w:b/>
          <w:color w:val="000000"/>
          <w:sz w:val="19"/>
        </w:rPr>
        <w:t xml:space="preserve">到场调试链  </w:t>
      </w:r>
      <w:r>
        <w:rPr>
          <w:rFonts w:ascii="Microsoft YaHei" w:hAnsi="Microsoft YaHei" w:eastAsia="Microsoft YaHei" w:cs="Microsoft YaHei"/>
          <w:color w:val="000000"/>
          <w:sz w:val="18"/>
        </w:rPr>
        <w:t>安装复核  →  气源接入  →  空载测试  →  负载平衡  →  夹具/真空测试  →  安全保护检查  →  培训与交付确认</w:t>
      </w:r>
    </w:p>
    <w:tbl>
      <w:tblPr>
        <w:tblW w:type="dxa" w:w="10091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300"/>
        <w:gridCol w:w="7791"/>
      </w:tblGrid>
      <w:tr>
        <w:trPr>
          <w:tblHeader w:val="true"/>
        </w:trPr>
        <w:tc>
          <w:tcPr>
            <w:tcW w:type="dxa" w:w="23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0E3B8C" w:val="clear"/>
          </w:tcPr>
          <w:p>
            <w:pPr>
              <w:keepNext/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</w: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  <w:t>关键节点</w:t>
            </w:r>
          </w:p>
        </w:tc>
        <w:tc>
          <w:tcPr>
            <w:tcW w:type="dxa" w:w="779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0E3B8C" w:val="clear"/>
          </w:tcPr>
          <w:p>
            <w:pPr>
              <w:keepNext/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</w: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  <w:t>客户与项目团队应共同确认</w:t>
            </w:r>
          </w:p>
        </w:tc>
      </w:tr>
      <w:tr>
        <w:trPr/>
        <w:tc>
          <w:tcPr>
            <w:tcW w:type="dxa" w:w="23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  <w:t>需求基线</w:t>
            </w:r>
          </w:p>
        </w:tc>
        <w:tc>
          <w:tcPr>
            <w:tcW w:type="dxa" w:w="779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工件、动作、节拍、现场条件和适用边界已形成书面版本</w:t>
            </w:r>
          </w:p>
        </w:tc>
      </w:tr>
      <w:tr>
        <w:trPr/>
        <w:tc>
          <w:tcPr>
            <w:tcW w:type="dxa" w:w="23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  <w:t>方案 / 布局</w:t>
            </w:r>
          </w:p>
        </w:tc>
        <w:tc>
          <w:tcPr>
            <w:tcW w:type="dxa" w:w="779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结构方向、作业包络、安装位置、夹具与控制逻辑已评审</w:t>
            </w:r>
          </w:p>
        </w:tc>
      </w:tr>
      <w:tr>
        <w:trPr/>
        <w:tc>
          <w:tcPr>
            <w:tcW w:type="dxa" w:w="23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  <w:t>制造放行</w:t>
            </w:r>
          </w:p>
        </w:tc>
        <w:tc>
          <w:tcPr>
            <w:tcW w:type="dxa" w:w="779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关键图纸、接口、颜色、铭牌和技术协议按项目约定确认</w:t>
            </w:r>
          </w:p>
        </w:tc>
      </w:tr>
      <w:tr>
        <w:trPr/>
        <w:tc>
          <w:tcPr>
            <w:tcW w:type="dxa" w:w="23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  <w:t>出厂验证</w:t>
            </w:r>
          </w:p>
        </w:tc>
        <w:tc>
          <w:tcPr>
            <w:tcW w:type="dxa" w:w="779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空载、负载、夹具、制动、断气/失压及约定安全功能有记录</w:t>
            </w:r>
          </w:p>
        </w:tc>
      </w:tr>
      <w:tr>
        <w:trPr/>
        <w:tc>
          <w:tcPr>
            <w:tcW w:type="dxa" w:w="23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6"/>
              </w:rPr>
              <w:t>现场交付</w:t>
            </w:r>
          </w:p>
        </w:tc>
        <w:tc>
          <w:tcPr>
            <w:tcW w:type="dxa" w:w="779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6"/>
              </w:rPr>
              <w:t>安装、完整动作试搬、操作培训、遗留项与双方确认已记录</w:t>
            </w:r>
          </w:p>
        </w:tc>
      </w:tr>
    </w:tbl>
    <w:p>
      <w:pPr>
        <w:pStyle w:val="AUREKSource"/>
        <w:widowControl/>
        <w:spacing w:after="120" w:line="312" w:lineRule="auto"/>
      </w:pPr>
      <w:r>
        <w:rPr>
          <w:color w:val="000000"/>
        </w:rPr>
        <w:t>流程概览依据安睿克官网“工程化交付”与资料中心“安装调试与交付说明”。各项目的实施节点应在合同与技术协议中明确。</w:t>
      </w:r>
    </w:p>
    <w:p>
      <w:pPr>
        <w:widowControl/>
      </w:pPr>
      <w:r>
        <w:br w:type="page"/>
      </w:r>
    </w:p>
    <w:p>
      <w:pPr>
        <w:pStyle w:val="AUREKKicker"/>
        <w:widowControl/>
        <w:spacing w:after="120" w:line="312" w:lineRule="auto"/>
      </w:pPr>
      <w:r>
        <w:rPr>
          <w:color w:val="000000"/>
        </w:rPr>
        <w:t>SECTION 09  ·  PROJECT BRIEF</w:t>
      </w:r>
    </w:p>
    <w:p>
      <w:pPr>
        <w:pStyle w:val="Heading1"/>
        <w:widowControl/>
      </w:pPr>
      <w:r>
        <w:rPr>
          <w:color w:val="000000"/>
          <w:u w:val="none"/>
        </w:rPr>
        <w:t>询价资料清单：把关键工况一次说清</w:t>
      </w:r>
    </w:p>
    <w:p>
      <w:pPr>
        <w:pStyle w:val="AUREKLead"/>
        <w:widowControl/>
        <w:spacing w:after="120" w:line="312" w:lineRule="auto"/>
      </w:pPr>
      <w:r>
        <w:rPr>
          <w:color w:val="000000"/>
        </w:rPr>
        <w:t>建议随邮件或工况表提交以下资料。前期可使用明确标注的估算值；正式设计采用受控图纸、实测数据或确认记录。</w:t>
      </w:r>
    </w:p>
    <w:tbl>
      <w:tblPr>
        <w:tblW w:type="dxa" w:w="10091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100"/>
        <w:gridCol w:w="5600"/>
        <w:gridCol w:w="2391"/>
      </w:tblGrid>
      <w:tr>
        <w:trPr>
          <w:tblHeader w:val="true"/>
        </w:trPr>
        <w:tc>
          <w:tcPr>
            <w:tcW w:type="dxa" w:w="21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0E3B8C" w:val="clear"/>
          </w:tcPr>
          <w:p>
            <w:pPr>
              <w:keepNext/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</w: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  <w:t>资料项</w:t>
            </w:r>
          </w:p>
        </w:tc>
        <w:tc>
          <w:tcPr>
            <w:tcW w:type="dxa" w:w="56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0E3B8C" w:val="clear"/>
          </w:tcPr>
          <w:p>
            <w:pPr>
              <w:keepNext/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</w: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  <w:t>建议内容</w:t>
            </w:r>
          </w:p>
        </w:tc>
        <w:tc>
          <w:tcPr>
            <w:tcW w:type="dxa" w:w="239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0E3B8C" w:val="clear"/>
          </w:tcPr>
          <w:p>
            <w:pPr>
              <w:keepNext/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</w:r>
            <w:r>
              <w:rPr>
                <w:rFonts w:ascii="Microsoft YaHei" w:hAnsi="Microsoft YaHei" w:eastAsia="Microsoft YaHei" w:cs="Microsoft YaHei"/>
                <w:b/>
                <w:color w:val="FFFFFF"/>
                <w:sz w:val="17"/>
              </w:rPr>
              <w:t>推荐形式</w:t>
            </w:r>
          </w:p>
        </w:tc>
      </w:tr>
      <w:tr>
        <w:trPr/>
        <w:tc>
          <w:tcPr>
            <w:tcW w:type="dxa" w:w="21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5"/>
              </w:rPr>
              <w:t>工件图片 / 视频</w:t>
            </w:r>
          </w:p>
        </w:tc>
        <w:tc>
          <w:tcPr>
            <w:tcW w:type="dxa" w:w="56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正面、侧面、底面、抓取面与现场完整动作</w:t>
            </w:r>
          </w:p>
        </w:tc>
        <w:tc>
          <w:tcPr>
            <w:tcW w:type="dxa" w:w="239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图片 / 短视频</w:t>
            </w:r>
          </w:p>
        </w:tc>
      </w:tr>
      <w:tr>
        <w:trPr/>
        <w:tc>
          <w:tcPr>
            <w:tcW w:type="dxa" w:w="21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5"/>
              </w:rPr>
              <w:t>工件图纸</w:t>
            </w:r>
          </w:p>
        </w:tc>
        <w:tc>
          <w:tcPr>
            <w:tcW w:type="dxa" w:w="56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外形尺寸、重量、重心、材质、接触限制</w:t>
            </w:r>
          </w:p>
        </w:tc>
        <w:tc>
          <w:tcPr>
            <w:tcW w:type="dxa" w:w="239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2D / 3D / 参数表</w:t>
            </w:r>
          </w:p>
        </w:tc>
      </w:tr>
      <w:tr>
        <w:trPr/>
        <w:tc>
          <w:tcPr>
            <w:tcW w:type="dxa" w:w="21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5"/>
              </w:rPr>
              <w:t>取放信息</w:t>
            </w:r>
          </w:p>
        </w:tc>
        <w:tc>
          <w:tcPr>
            <w:tcW w:type="dxa" w:w="56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取件点、放件点、高度差、水平距离与姿态</w:t>
            </w:r>
          </w:p>
        </w:tc>
        <w:tc>
          <w:tcPr>
            <w:tcW w:type="dxa" w:w="239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布局图 / 手绘图</w:t>
            </w:r>
          </w:p>
        </w:tc>
      </w:tr>
      <w:tr>
        <w:trPr/>
        <w:tc>
          <w:tcPr>
            <w:tcW w:type="dxa" w:w="21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5"/>
              </w:rPr>
              <w:t>搬运动作</w:t>
            </w:r>
          </w:p>
        </w:tc>
        <w:tc>
          <w:tcPr>
            <w:tcW w:type="dxa" w:w="56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升降、平移、旋转、翻转、定位与释放顺序</w:t>
            </w:r>
          </w:p>
        </w:tc>
        <w:tc>
          <w:tcPr>
            <w:tcW w:type="dxa" w:w="239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流程说明 / 视频</w:t>
            </w:r>
          </w:p>
        </w:tc>
      </w:tr>
      <w:tr>
        <w:trPr/>
        <w:tc>
          <w:tcPr>
            <w:tcW w:type="dxa" w:w="21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5"/>
              </w:rPr>
              <w:t>节拍与班制</w:t>
            </w:r>
          </w:p>
        </w:tc>
        <w:tc>
          <w:tcPr>
            <w:tcW w:type="dxa" w:w="56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单次节拍、每小时次数、每日时长、换型频率</w:t>
            </w:r>
          </w:p>
        </w:tc>
        <w:tc>
          <w:tcPr>
            <w:tcW w:type="dxa" w:w="239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生产节拍表</w:t>
            </w:r>
          </w:p>
        </w:tc>
      </w:tr>
      <w:tr>
        <w:trPr/>
        <w:tc>
          <w:tcPr>
            <w:tcW w:type="dxa" w:w="21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5"/>
              </w:rPr>
              <w:t>现场条件</w:t>
            </w:r>
          </w:p>
        </w:tc>
        <w:tc>
          <w:tcPr>
            <w:tcW w:type="dxa" w:w="56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净空、基础/顶部结构、周边设备、通道与人员站位</w:t>
            </w:r>
          </w:p>
        </w:tc>
        <w:tc>
          <w:tcPr>
            <w:tcW w:type="dxa" w:w="239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现场照片 / 布局图</w:t>
            </w:r>
          </w:p>
        </w:tc>
      </w:tr>
      <w:tr>
        <w:trPr/>
        <w:tc>
          <w:tcPr>
            <w:tcW w:type="dxa" w:w="21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5"/>
              </w:rPr>
              <w:t>能源 / 环境</w:t>
            </w:r>
          </w:p>
        </w:tc>
        <w:tc>
          <w:tcPr>
            <w:tcW w:type="dxa" w:w="56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气源、电源、高温、粉尘、油污、洁净或其他要求</w:t>
            </w:r>
          </w:p>
        </w:tc>
        <w:tc>
          <w:tcPr>
            <w:tcW w:type="dxa" w:w="239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参数表 / 现场记录</w:t>
            </w:r>
          </w:p>
        </w:tc>
      </w:tr>
      <w:tr>
        <w:trPr/>
        <w:tc>
          <w:tcPr>
            <w:tcW w:type="dxa" w:w="21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center"/>
            </w:pPr>
            <w:r>
              <w:rPr>
                <w:rFonts w:ascii="Microsoft YaHei" w:hAnsi="Microsoft YaHei" w:eastAsia="Microsoft YaHei" w:cs="Microsoft YaHei"/>
                <w:b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/>
                <w:color w:val="0C1014"/>
                <w:sz w:val="15"/>
              </w:rPr>
              <w:t>安全 / 验收</w:t>
            </w:r>
          </w:p>
        </w:tc>
        <w:tc>
          <w:tcPr>
            <w:tcW w:type="dxa" w:w="5600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防坠、防误释放、急停、限位、接口与验收准则</w:t>
            </w:r>
          </w:p>
        </w:tc>
        <w:tc>
          <w:tcPr>
            <w:tcW w:type="dxa" w:w="2391"/>
            <w:tcMar>
              <w:top w:w="65" w:type="dxa"/>
              <w:start w:w="120" w:type="dxa"/>
              <w:bottom w:w="65" w:type="dxa"/>
              <w:end w:w="120" w:type="dxa"/>
              <w:left w:w="85" w:type="dxa"/>
              <w:right w:w="85" w:type="dxa"/>
            </w:tcMar>
            <w:vAlign w:val="center"/>
            <w:shd w:fill="F7F8FA" w:val="clear"/>
          </w:tcPr>
          <w:p>
            <w:pPr>
              <w:widowControl/>
              <w:spacing w:before="60" w:after="60" w:line="276" w:lineRule="auto"/>
              <w:jc w:val="left"/>
            </w:pP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</w:r>
            <w:r>
              <w:rPr>
                <w:rFonts w:ascii="Microsoft YaHei" w:hAnsi="Microsoft YaHei" w:eastAsia="Microsoft YaHei" w:cs="Microsoft YaHei"/>
                <w:b w:val="0"/>
                <w:color w:val="0C1014"/>
                <w:sz w:val="15"/>
              </w:rPr>
              <w:t>技术要求 / 企业规范</w:t>
            </w:r>
          </w:p>
        </w:tc>
      </w:tr>
    </w:tbl>
    <w:p>
      <w:pPr>
        <w:pStyle w:val="Heading2"/>
        <w:widowControl/>
      </w:pPr>
      <w:r>
        <w:rPr>
          <w:color w:val="000000"/>
          <w:u w:val="none"/>
        </w:rPr>
        <w:t>联系安睿克</w:t>
      </w:r>
    </w:p>
    <w:p>
      <w:pPr>
        <w:widowControl/>
        <w:spacing w:before="40" w:after="120" w:line="312" w:lineRule="auto"/>
        <w:ind w:left="159" w:right="113"/>
      </w:pPr>
      <w:r>
        <w:rPr>
          <w:rFonts w:ascii="Microsoft YaHei" w:hAnsi="Microsoft YaHei" w:eastAsia="Microsoft YaHei" w:cs="Microsoft YaHei"/>
          <w:b/>
          <w:color w:val="000000"/>
          <w:sz w:val="20"/>
        </w:rPr>
        <w:t>江苏安睿克智能科技有限公司</w:t>
      </w:r>
      <w:r>
        <w:rPr>
          <w:color w:val="000000"/>
        </w:rPr>
        <w:br/>
      </w:r>
      <w:r>
        <w:rPr>
          <w:rFonts w:ascii="Microsoft YaHei" w:hAnsi="Microsoft YaHei" w:eastAsia="Microsoft YaHei" w:cs="Microsoft YaHei"/>
          <w:b w:val="0"/>
          <w:color w:val="000000"/>
          <w:sz w:val="18"/>
        </w:rPr>
        <w:t>地址：江苏省连云港市灌南县经济开发区通州路1号</w:t>
      </w:r>
      <w:r>
        <w:rPr>
          <w:color w:val="000000"/>
        </w:rPr>
        <w:br/>
      </w:r>
      <w:r>
        <w:rPr>
          <w:rFonts w:ascii="Microsoft YaHei" w:hAnsi="Microsoft YaHei" w:eastAsia="Microsoft YaHei" w:cs="Microsoft YaHei"/>
          <w:b w:val="0"/>
          <w:color w:val="000000"/>
          <w:sz w:val="18"/>
        </w:rPr>
        <w:t>电话：19051206661    邮箱：sales@aurek.cn</w:t>
      </w:r>
      <w:r>
        <w:rPr>
          <w:color w:val="000000"/>
        </w:rPr>
        <w:br/>
      </w:r>
      <w:r>
        <w:rPr>
          <w:rFonts w:ascii="Microsoft YaHei" w:hAnsi="Microsoft YaHei" w:eastAsia="Microsoft YaHei" w:cs="Microsoft YaHei"/>
          <w:b w:val="0"/>
          <w:color w:val="000000"/>
          <w:sz w:val="18"/>
        </w:rPr>
        <w:t>官网：www.aurek.cn</w:t>
      </w:r>
    </w:p>
    <w:p>
      <w:pPr>
        <w:pStyle w:val="Heading2"/>
        <w:widowControl/>
      </w:pPr>
      <w:r>
        <w:rPr>
          <w:color w:val="000000"/>
          <w:u w:val="none"/>
        </w:rPr>
        <w:t>手册用途与项目确认</w:t>
      </w:r>
    </w:p>
    <w:p>
      <w:pPr>
        <w:pStyle w:val="AUREKCallout"/>
        <w:widowControl/>
        <w:spacing w:after="120" w:line="312" w:lineRule="auto"/>
        <w:ind w:left="142" w:right="102"/>
      </w:pPr>
      <w:r>
        <w:rPr>
          <w:rFonts w:ascii="Microsoft YaHei" w:hAnsi="Microsoft YaHei" w:eastAsia="Microsoft YaHei" w:cs="Microsoft YaHei"/>
          <w:b/>
          <w:color w:val="000000"/>
          <w:sz w:val="19"/>
        </w:rPr>
        <w:t>本手册供产品了解与前期选型使用。报价、设备参数、使用要求、验收准则和安全配置由项目文件分别明确，不能直接引用本手册作为供货或性能承诺。负载、作业半径、提升行程、安装结构、夹具及控制配置须结合工件、路径、环境和风险评估确认，并落实到双方签署的合同或技术协议、受控图纸、设备铭牌、说明书及检验验收记录中。工件、工艺、路径或现场条件变化后，应重新评估再使用。</w:t>
      </w:r>
    </w:p>
    <w:p>
      <w:pPr>
        <w:pStyle w:val="AUREKSource"/>
        <w:widowControl/>
        <w:spacing w:after="120" w:line="312" w:lineRule="auto"/>
      </w:pPr>
      <w:r>
        <w:rPr>
          <w:color w:val="000000"/>
        </w:rPr>
        <w:t>资料版本：AUREK-PB-ARK-001 / V1.0 / 2026-08-15。官网内容如有更新，以 www.aurek.cn 最新公开页面为准。</w:t>
      </w:r>
    </w:p>
    <w:sectPr>
      <w:headerReference w:type="default" r:id="rId9"/>
      <w:footerReference w:type="default" r:id="rId10"/>
      <w:headerReference w:type="first" r:id="rId21"/>
      <w:headerReference w:type="even" r:id="rId22"/>
      <w:footerReference w:type="first" r:id="rId23"/>
      <w:footerReference w:type="even" r:id="rId24"/>
      <w:pgSz w:w="11906" w:h="16838"/>
      <w:pgMar w:top="907" w:right="907" w:bottom="794" w:left="907" w:header="369" w:footer="369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icrosoft YaHei" w:hAnsi="Microsoft YaHei" w:eastAsia="Microsoft YaHei" w:cs="Microsoft YaHei"/>
        <w:color w:val="5D6673"/>
        <w:sz w:val="15"/>
      </w:rPr>
      <w:t xml:space="preserve">AUREK-PB-ARK-001 · V1.0   |   </w:t>
    </w:r>
    <w:r>
      <w:rPr>
        <w:rFonts w:ascii="Microsoft YaHei" w:hAnsi="Microsoft YaHei" w:eastAsia="Microsoft YaHei" w:cs="Microsoft YaHei"/>
        <w:color w:val="5D6673"/>
        <w:sz w:val="16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00000"/>
        <w:sz w:val="16"/>
      </w:rPr>
      <w:t xml:space="preserve">AUREK-PB-ARK-001  V1.0  2026-09-06     </w:t>
    </w:r>
    <w:fldSimple w:instr="PAGE"/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00000"/>
        <w:sz w:val="16"/>
      </w:rPr>
      <w:t xml:space="preserve">AUREK-PB-ARK-001  V1.0  2026-09-06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91" w:val="right"/>
      </w:tabs>
      <w:spacing w:before="0" w:after="0"/>
      <w:jc w:val="left"/>
    </w:pPr>
    <w:r>
      <w:rPr>
        <w:color w:val="000000"/>
      </w:rPr>
      <w:drawing>
        <wp:inline xmlns:a="http://schemas.openxmlformats.org/drawingml/2006/main" xmlns:pic="http://schemas.openxmlformats.org/drawingml/2006/picture">
          <wp:extent cx="1116000" cy="259374"/>
          <wp:docPr id="1" name="Picture 1" descr="安睿克 AUREK 品牌标识" title="安睿克 AUREK 品牌标识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urek-logo-head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6000" cy="259374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rFonts w:ascii="Microsoft YaHei" w:hAnsi="Microsoft YaHei" w:eastAsia="Microsoft YaHei" w:cs="Microsoft YaHei"/>
        <w:b/>
        <w:color w:val="000000"/>
        <w:sz w:val="15"/>
      </w:rPr>
      <w:t>产品总览 · 快速选型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nsid w:val="A0000009"/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rFonts w:ascii="Microsoft YaHei" w:hAnsi="Microsoft YaHei" w:eastAsia="Microsoft YaHei"/>
        <w:color w:val="0E3B8C"/>
      </w:rPr>
    </w:lvl>
  </w:abstractNum>
  <w:num w:numId="10">
    <w:abstractNumId w:val="9"/>
  </w:num>
  <w:abstractNum w:abstractNumId="10">
    <w:nsid w:val="A000000A"/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rFonts w:ascii="Microsoft YaHei" w:hAnsi="Microsoft YaHei" w:eastAsia="Microsoft YaHei"/>
        <w:color w:val="0E3B8C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doNotExpandShiftReturn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90" w:line="300" w:lineRule="auto"/>
      <w:widowControl w:val="1"/>
    </w:pPr>
    <w:rPr>
      <w:rFonts w:ascii="Microsoft YaHei" w:hAnsi="Microsoft YaHei" w:eastAsia="Microsoft YaHei"/>
      <w:color w:val="0C1014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微软雅黑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59" w:lineRule="auto"/>
      <w:outlineLvl w:val="0"/>
    </w:pPr>
    <w:rPr>
      <w:rFonts w:asciiTheme="majorHAnsi" w:eastAsiaTheme="majorEastAsia" w:hAnsiTheme="majorHAnsi" w:cstheme="majorBidi" w:ascii="Arial" w:hAnsi="Arial" w:eastAsia="微软雅黑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 w:line="259" w:lineRule="auto"/>
      <w:outlineLvl w:val="1"/>
    </w:pPr>
    <w:rPr>
      <w:rFonts w:asciiTheme="majorHAnsi" w:eastAsiaTheme="majorEastAsia" w:hAnsiTheme="majorHAnsi" w:cstheme="majorBidi" w:ascii="Arial" w:hAnsi="Arial" w:eastAsia="微软雅黑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 w:line="259" w:lineRule="auto"/>
      <w:outlineLvl w:val="2"/>
    </w:pPr>
    <w:rPr>
      <w:rFonts w:asciiTheme="majorHAnsi" w:eastAsiaTheme="majorEastAsia" w:hAnsiTheme="majorHAnsi" w:cstheme="majorBidi" w:ascii="Arial" w:hAnsi="Arial" w:eastAsia="微软雅黑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 w:eastAsia="微软雅黑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2" w:lineRule="auto" w:before="0"/>
      <w:contextualSpacing/>
    </w:pPr>
    <w:rPr>
      <w:rFonts w:asciiTheme="majorHAnsi" w:eastAsiaTheme="majorEastAsia" w:hAnsiTheme="majorHAnsi" w:cstheme="majorBidi" w:ascii="Arial" w:hAnsi="Arial" w:eastAsia="微软雅黑"/>
      <w:b/>
      <w:color w:val="000000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00" w:line="276" w:lineRule="auto"/>
    </w:pPr>
    <w:rPr>
      <w:rFonts w:asciiTheme="majorHAnsi" w:eastAsiaTheme="majorEastAsia" w:hAnsiTheme="majorHAnsi" w:cstheme="majorBidi" w:ascii="Arial" w:hAnsi="Arial" w:eastAsia="微软雅黑"/>
      <w:i w:val="0"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52" w:lineRule="auto" w:before="20" w:after="100"/>
    </w:pPr>
    <w:rPr>
      <w:rFonts w:ascii="Microsoft YaHei" w:hAnsi="Microsoft YaHei" w:eastAsia="Microsoft YaHei"/>
      <w:b/>
      <w:bCs/>
      <w:i w:val="0"/>
      <w:color w:val="5D6673"/>
      <w:sz w:val="16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UREKKicker">
    <w:name w:val="AUREK Kicker"/>
    <w:basedOn w:val="Normal"/>
    <w:pPr>
      <w:keepNext/>
      <w:spacing w:before="0" w:after="60"/>
    </w:pPr>
    <w:rPr>
      <w:rFonts w:ascii="Microsoft YaHei" w:hAnsi="Microsoft YaHei" w:eastAsia="Microsoft YaHei"/>
      <w:b/>
      <w:color w:val="0E3B8C"/>
      <w:sz w:val="16"/>
    </w:rPr>
  </w:style>
  <w:style w:type="paragraph" w:customStyle="1" w:styleId="AUREKLead">
    <w:name w:val="AUREK Lead"/>
    <w:basedOn w:val="Normal"/>
    <w:pPr>
      <w:spacing w:before="0" w:after="160" w:line="300" w:lineRule="auto"/>
      <w:widowControl w:val="1"/>
    </w:pPr>
    <w:rPr>
      <w:rFonts w:ascii="Microsoft YaHei" w:hAnsi="Microsoft YaHei" w:eastAsia="Microsoft YaHei"/>
      <w:color w:val="5D6673"/>
      <w:sz w:val="20"/>
    </w:rPr>
  </w:style>
  <w:style w:type="paragraph" w:customStyle="1" w:styleId="AUREKSource">
    <w:name w:val="AUREK Source"/>
    <w:basedOn w:val="Normal"/>
    <w:pPr>
      <w:spacing w:before="80" w:after="40" w:line="269" w:lineRule="auto"/>
    </w:pPr>
    <w:rPr>
      <w:rFonts w:ascii="Microsoft YaHei" w:hAnsi="Microsoft YaHei" w:eastAsia="Microsoft YaHei"/>
      <w:color w:val="5D6673"/>
      <w:sz w:val="15"/>
    </w:rPr>
  </w:style>
  <w:style w:type="paragraph" w:customStyle="1" w:styleId="AUREKCallout">
    <w:name w:val="AUREK Callout"/>
    <w:basedOn w:val="Normal"/>
    <w:pPr>
      <w:spacing w:before="60" w:after="120" w:line="293" w:lineRule="auto"/>
      <w:widowControl w:val="1"/>
    </w:pPr>
    <w:rPr>
      <w:rFonts w:ascii="Microsoft YaHei" w:hAnsi="Microsoft YaHei" w:eastAsia="Microsoft YaHei"/>
      <w:sz w:val="18"/>
    </w:rPr>
  </w:style>
  <w:style w:type="paragraph" w:customStyle="1" w:styleId="AUREKBullet">
    <w:name w:val="AUREK Bullet"/>
    <w:basedOn w:val="Normal"/>
    <w:pPr>
      <w:spacing w:before="0" w:after="80" w:line="300" w:lineRule="auto"/>
      <w:numPr>
        <w:ilvl w:val="0"/>
        <w:numId w:val="10"/>
      </w:numPr>
      <w:widowControl w:val="1"/>
    </w:pPr>
    <w:rPr>
      <w:rFonts w:ascii="Microsoft YaHei" w:hAnsi="Microsoft YaHei" w:eastAsia="Microsoft YaHei"/>
      <w:sz w:val="18"/>
    </w:rPr>
  </w:style>
  <w:style w:type="paragraph" w:customStyle="1" w:styleId="AUREKNumber">
    <w:name w:val="AUREK Number"/>
    <w:basedOn w:val="Normal"/>
    <w:pPr>
      <w:spacing w:before="0" w:after="100" w:line="300" w:lineRule="auto"/>
      <w:numPr>
        <w:ilvl w:val="0"/>
        <w:numId w:val="11"/>
      </w:numPr>
      <w:widowControl w:val="1"/>
    </w:pPr>
    <w:rPr>
      <w:rFonts w:ascii="Microsoft YaHei" w:hAnsi="Microsoft YaHei" w:eastAsia="Microsoft YaHei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jpeg"/><Relationship Id="rId13" Type="http://schemas.openxmlformats.org/officeDocument/2006/relationships/image" Target="media/image4.jpeg"/><Relationship Id="rId14" Type="http://schemas.openxmlformats.org/officeDocument/2006/relationships/image" Target="media/image5.jpeg"/><Relationship Id="rId15" Type="http://schemas.openxmlformats.org/officeDocument/2006/relationships/image" Target="media/image6.jpeg"/><Relationship Id="rId16" Type="http://schemas.openxmlformats.org/officeDocument/2006/relationships/image" Target="media/image7.jpeg"/><Relationship Id="rId17" Type="http://schemas.openxmlformats.org/officeDocument/2006/relationships/image" Target="media/image8.jpeg"/><Relationship Id="rId18" Type="http://schemas.openxmlformats.org/officeDocument/2006/relationships/image" Target="media/image9.jpeg"/><Relationship Id="rId19" Type="http://schemas.openxmlformats.org/officeDocument/2006/relationships/image" Target="media/image10.jpeg"/><Relationship Id="rId20" Type="http://schemas.openxmlformats.org/officeDocument/2006/relationships/image" Target="media/image11.jpeg"/><Relationship Id="rId21" Type="http://schemas.openxmlformats.org/officeDocument/2006/relationships/header" Target="header2.xml"/><Relationship Id="rId22" Type="http://schemas.openxmlformats.org/officeDocument/2006/relationships/header" Target="header3.xml"/><Relationship Id="rId23" Type="http://schemas.openxmlformats.org/officeDocument/2006/relationships/footer" Target="footer2.xml"/><Relationship Id="rId24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安睿克产品总览与快速选型手册</dc:title>
  <dc:subject>AUREK-PB-ARK-001</dc:subject>
  <dc:creator>AUREK</dc:creator>
  <cp:keywords>安睿克,AUREK,ARK,助力机械臂,快速选型,非标夹具</cp:keywords>
  <dc:description>AUREK-PB-ARK-001 V1.0</dc:description>
  <cp:lastModifiedBy>AUREK</cp:lastModifiedBy>
  <cp:revision>1</cp:revision>
  <dcterms:created xsi:type="dcterms:W3CDTF">2013-12-23T23:15:00Z</dcterms:created>
  <dcterms:modified xsi:type="dcterms:W3CDTF">2026-09-07T01:22:45Z</dcterms:modified>
  <cp:category/>
</cp:coreProperties>
</file>