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120" w:after="600"/>
        <w:jc w:val="center"/>
      </w:pPr>
      <w:r>
        <w:drawing>
          <wp:inline xmlns:a="http://schemas.openxmlformats.org/drawingml/2006/main" xmlns:pic="http://schemas.openxmlformats.org/drawingml/2006/picture">
            <wp:extent cx="1691640" cy="59207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aurek-logo-full.png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91640" cy="592074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pPr>
        <w:spacing w:after="280"/>
        <w:jc w:val="center"/>
      </w:pPr>
      <w:r>
        <w:rPr>
          <w:rFonts w:ascii="Calibri" w:hAnsi="Calibri" w:eastAsia="Microsoft YaHei"/>
          <w:b/>
          <w:color w:val="B78727"/>
          <w:sz w:val="20"/>
        </w:rPr>
        <w:t>ENGINEERING RESEARCH REPORT · 工程研究报告</w:t>
      </w:r>
    </w:p>
    <w:p>
      <w:pPr>
        <w:keepLines/>
        <w:spacing w:after="280"/>
        <w:jc w:val="center"/>
      </w:pPr>
      <w:r>
        <w:rPr>
          <w:rFonts w:ascii="Calibri" w:hAnsi="Calibri" w:eastAsia="Microsoft YaHei"/>
          <w:b/>
          <w:color w:val="203748"/>
          <w:sz w:val="50"/>
        </w:rPr>
        <w:t>大型汽车钣金件搬运中的夹持力、变形与外观保护研究</w:t>
      </w:r>
    </w:p>
    <w:p>
      <w:pPr>
        <w:spacing w:after="840"/>
        <w:jc w:val="center"/>
      </w:pPr>
      <w:r>
        <w:rPr>
          <w:rFonts w:ascii="Calibri" w:hAnsi="Calibri" w:eastAsia="Microsoft YaHei"/>
          <w:color w:val="5D6670"/>
          <w:sz w:val="23"/>
        </w:rPr>
        <w:t>面向汽车行业助力搬运与非标夹具的公开资料研究、工程推导与验证方法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文件编号  </w:t>
      </w:r>
      <w:r>
        <w:rPr>
          <w:rFonts w:ascii="Calibri" w:hAnsi="Calibri" w:eastAsia="Microsoft YaHei"/>
          <w:color w:val="203748"/>
          <w:sz w:val="20"/>
        </w:rPr>
        <w:t>AUREK-RC-AR-037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版本  </w:t>
      </w:r>
      <w:r>
        <w:rPr>
          <w:rFonts w:ascii="Calibri" w:hAnsi="Calibri" w:eastAsia="Microsoft YaHei"/>
          <w:color w:val="203748"/>
          <w:sz w:val="20"/>
        </w:rPr>
        <w:t>V1.0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发布日期  </w:t>
      </w:r>
      <w:r>
        <w:rPr>
          <w:rFonts w:ascii="Calibri" w:hAnsi="Calibri" w:eastAsia="Microsoft YaHei"/>
          <w:color w:val="203748"/>
          <w:sz w:val="20"/>
        </w:rPr>
        <w:t>2026-07-13</w:t>
      </w:r>
    </w:p>
    <w:p>
      <w:pPr>
        <w:spacing w:after="60"/>
        <w:jc w:val="center"/>
      </w:pPr>
      <w:r>
        <w:rPr>
          <w:rFonts w:ascii="Calibri" w:hAnsi="Calibri" w:eastAsia="Microsoft YaHei"/>
          <w:b/>
          <w:color w:val="5D6670"/>
          <w:sz w:val="20"/>
        </w:rPr>
        <w:t xml:space="preserve">发布单位  </w:t>
      </w:r>
      <w:r>
        <w:rPr>
          <w:rFonts w:ascii="Calibri" w:hAnsi="Calibri" w:eastAsia="Microsoft YaHei"/>
          <w:color w:val="203748"/>
          <w:sz w:val="20"/>
        </w:rPr>
        <w:t>江苏安睿克智能科技有限公司</w:t>
      </w:r>
    </w:p>
    <w:p>
      <w:pPr>
        <w:spacing w:before="720" w:after="0"/>
        <w:jc w:val="center"/>
      </w:pPr>
      <w:r>
        <w:rPr>
          <w:rFonts w:ascii="Calibri" w:hAnsi="Calibri" w:eastAsia="Microsoft YaHei"/>
          <w:b/>
          <w:color w:val="8A5C16"/>
          <w:sz w:val="18"/>
        </w:rPr>
        <w:t>研究与验证方法文件 · 非产品认证 / 非客户验收证明</w:t>
      </w:r>
    </w:p>
    <w:p>
      <w:r>
        <w:br w:type="page"/>
      </w:r>
    </w:p>
    <w:p>
      <w:pPr>
        <w:pStyle w:val="Heading1"/>
        <w:spacing w:before="0"/>
      </w:pPr>
      <w:r>
        <w:t>报告结构</w:t>
      </w:r>
    </w:p>
    <w:p>
      <w:pPr>
        <w:pStyle w:val="AurekContents"/>
        <w:ind w:left="259"/>
      </w:pPr>
      <w:r>
        <w:rPr>
          <w:rFonts w:ascii="Calibri" w:hAnsi="Calibri" w:eastAsia="Microsoft YaHei"/>
          <w:b/>
          <w:color w:val="203748"/>
          <w:sz w:val="21"/>
        </w:rPr>
        <w:t>00 执行摘要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01 研究范围、对象与证据边界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02 失效机理与控制变量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03 夹持力与布局的联合设计方法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04 外观保护与污染控制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05 仿真、台架与真实样件验证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06 FMEA 与故障控制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07 工程实施与验收资料包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08 结论与适用限制</w:t>
      </w:r>
    </w:p>
    <w:p>
      <w:pPr>
        <w:pStyle w:val="AurekContents"/>
        <w:ind w:left="259"/>
      </w:pPr>
      <w:r>
        <w:rPr>
          <w:rFonts w:ascii="Calibri" w:hAnsi="Calibri" w:eastAsia="Microsoft YaHei"/>
          <w:b w:val="0"/>
          <w:color w:val="203748"/>
          <w:sz w:val="21"/>
        </w:rPr>
        <w:t>参考文献</w:t>
      </w:r>
    </w:p>
    <w:p>
      <w:pPr>
        <w:pStyle w:val="AurekCallout"/>
        <w:spacing w:before="120" w:after="160"/>
        <w:ind w:left="259" w:right="173"/>
        <w:shd w:fill="F4F6F9"/>
        <w:pBdr>
          <w:left w:val="single" w:sz="18" w:space="8" w:color="B78727"/>
        </w:pBdr>
      </w:pPr>
      <w:r>
        <w:rPr>
          <w:rFonts w:ascii="Calibri" w:hAnsi="Calibri" w:eastAsia="Microsoft YaHei"/>
          <w:b/>
          <w:color w:val="203748"/>
          <w:sz w:val="20"/>
        </w:rPr>
        <w:t xml:space="preserve">研究边界  </w:t>
      </w:r>
      <w:r>
        <w:rPr>
          <w:rFonts w:ascii="Calibri" w:hAnsi="Calibri" w:eastAsia="Microsoft YaHei"/>
          <w:sz w:val="20"/>
        </w:rPr>
        <w:t>正文中的标准、论文与供应商资料用于支持方法框架；示例计算均带有假设。项目应用必须补充真实工件、夹具、动作曲线、风险评估与原始测试证据。</w:t>
      </w:r>
    </w:p>
    <w:p>
      <w:r>
        <w:br w:type="page"/>
      </w:r>
    </w:p>
    <w:p>
      <w:pPr>
        <w:pStyle w:val="AurekCallout"/>
        <w:spacing w:before="120" w:after="160"/>
        <w:ind w:left="259" w:right="173"/>
        <w:shd w:fill="F4F6F9"/>
        <w:pBdr>
          <w:left w:val="single" w:sz="18" w:space="8" w:color="B78727"/>
        </w:pBdr>
      </w:pPr>
      <w:r>
        <w:rPr>
          <w:rFonts w:ascii="Calibri" w:hAnsi="Calibri" w:eastAsia="Microsoft YaHei"/>
          <w:b/>
          <w:color w:val="203748"/>
          <w:sz w:val="20"/>
        </w:rPr>
        <w:t xml:space="preserve">研究边界  </w:t>
      </w:r>
      <w:r>
        <w:rPr>
          <w:rFonts w:ascii="Calibri" w:hAnsi="Calibri" w:eastAsia="Microsoft YaHei"/>
          <w:sz w:val="20"/>
        </w:rPr>
        <w:t>文档属性：公开资料研究与工程设计方法。本文不包含特定客户项目的合格试验结果；示例参数仅用于说明计算路径，不能替代真实样件试验、风险评估与项目验收。</w:t>
      </w:r>
    </w:p>
    <w:p>
      <w:pPr>
        <w:pStyle w:val="Heading1"/>
      </w:pPr>
      <w:r>
        <w:rPr>
          <w:rFonts w:ascii="Calibri" w:hAnsi="Calibri" w:eastAsia="Microsoft YaHei"/>
        </w:rPr>
        <w:t>00 执行摘要</w:t>
      </w:r>
    </w:p>
    <w:p>
      <w:pPr/>
      <w:r>
        <w:rPr>
          <w:rFonts w:ascii="Calibri" w:hAnsi="Calibri" w:eastAsia="Microsoft YaHei"/>
          <w:sz w:val="22"/>
        </w:rPr>
        <w:t>大型车身外覆盖件兼具大尺寸、薄壁、低局部刚度和高外观要求。搬运系统即使具备足够的总提升力，仍可能因为吸盘局部深拉、支点跨度过大、油膜降低切向摩擦、加减速引发边缘振动，或接触材料污染漆前表面而失效。公开研究表明，柔性钣金搬运必须把工件视作受运动边界条件驱动的柔性体，而非刚体；吸盘的非线性刚度、密封唇预压与真空载荷也会改变局部变形[1][2]。</w:t>
      </w:r>
    </w:p>
    <w:p>
      <w:pPr/>
      <w:r>
        <w:rPr>
          <w:rFonts w:ascii="Calibri" w:hAnsi="Calibri" w:eastAsia="Microsoft YaHei"/>
          <w:sz w:val="22"/>
        </w:rPr>
        <w:t>本研究提出“承载安全、形状稳定、外观可接受”三目标设计框架。承载安全用法向吸附裕量和切向抗滑裕量校核；形状稳定用板壳刚度、吸点跨度、局部负压与动态加速度共同评价；外观保护则通过允许接触区、吸盘材料、清洁度、接触时间和复检条件闭环。工程上不应先选吸盘数量再寻找位置，而应先建立零件族参数矩阵和禁限区，再用吸点布局优化、动态轨迹降载与真实样件验证共同收敛。</w:t>
      </w:r>
    </w:p>
    <w:p>
      <w:pPr/>
      <w:r>
        <w:rPr>
          <w:rFonts w:ascii="Calibri" w:hAnsi="Calibri" w:eastAsia="Microsoft YaHei"/>
          <w:b/>
          <w:color w:val="203748"/>
          <w:sz w:val="22"/>
        </w:rPr>
        <w:t>核心结论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总吸附力合格不等于搬运可靠；竖直或倾斜姿态往往由切向摩擦和抗剥离能力控制。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薄板局部刚度随厚度立方增长，厚度、加强筋和吸点跨度的影响远大于单纯增加真空度。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带内支撑或防深拉结构的吸盘可减少局部鼓包；对油板还需专门的高摩擦纹理与滑移验证[3][4]。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外观保护必须以“规定光照、规定清洁状态、规定等待时间”的样件检查判定，不能只凭吸盘材质名称推断。</w:t>
      </w:r>
    </w:p>
    <w:p>
      <w:pPr>
        <w:pStyle w:val="AurekList"/>
        <w:numPr>
          <w:ilvl w:val="0"/>
          <w:numId w:val="10"/>
        </w:numPr>
      </w:pPr>
      <w:r>
        <w:rPr>
          <w:rFonts w:ascii="Calibri" w:hAnsi="Calibri" w:eastAsia="Microsoft YaHei"/>
          <w:sz w:val="21"/>
        </w:rPr>
        <w:t>最终放行对象应是“零件版本—吸盘版本—真空阈值—动作配方—检验规则”的完整组合，而不是孤立夹具。</w:t>
      </w:r>
    </w:p>
    <w:p>
      <w:pPr>
        <w:pStyle w:val="Heading1"/>
      </w:pPr>
      <w:r>
        <w:rPr>
          <w:rFonts w:ascii="Calibri" w:hAnsi="Calibri" w:eastAsia="Microsoft YaHei"/>
        </w:rPr>
        <w:t>01 研究范围、对象与证据边界</w:t>
      </w:r>
    </w:p>
    <w:p>
      <w:pPr/>
      <w:r>
        <w:rPr>
          <w:rFonts w:ascii="Calibri" w:hAnsi="Calibri" w:eastAsia="Microsoft YaHei"/>
          <w:sz w:val="22"/>
        </w:rPr>
        <w:t>研究对象包括外门板、发动机罩外板、顶盖、侧围、翼子板、尾门外板等大型冲压件，以及焊装前后带局部加强结构的薄壁件。搬运方式以真空吸附为主，同时讨论软质机械限位、托边和混合夹持。研究覆盖取件、离模/离架、平移、旋转、短时保持和落位，不覆盖冲压模具本体强度、产品服役碰撞性能或涂装配方认证。</w:t>
      </w:r>
    </w:p>
    <w:p>
      <w:pPr/>
      <w:r>
        <w:rPr>
          <w:rFonts w:ascii="Calibri" w:hAnsi="Calibri" w:eastAsia="Microsoft YaHei"/>
          <w:sz w:val="22"/>
        </w:rPr>
        <w:t>证据分为四层：第一层为 ISO 12100、ISO 4414 等机械与气动系统安全原则[5][6]；第二层为柔性钣金和真空夹持的动力学、有限元和控制研究[1][2]；第三层为汽车钣金吸盘供应商公开技术资料，用于识别工业常见结构和使用边界[3][4]；第四层为本文的工程推导与示例计算。第四层只用于建立项目方法，不能反向证明某具体产品或夹具已经通过验证。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800"/>
        <w:gridCol w:w="3480"/>
        <w:gridCol w:w="4080"/>
      </w:tblGrid>
      <w:tr>
        <w:trPr>
          <w:cantSplit w:val="true"/>
          <w:tblHeader w:val="true"/>
        </w:trPr>
        <w:tc>
          <w:tcPr>
            <w:tcW w:type="dxa" w:w="18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研究变量</w:t>
            </w:r>
          </w:p>
        </w:tc>
        <w:tc>
          <w:tcPr>
            <w:tcW w:type="dxa" w:w="348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建议最小数据集</w:t>
            </w:r>
          </w:p>
        </w:tc>
        <w:tc>
          <w:tcPr>
            <w:tcW w:type="dxa" w:w="408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典型失真后果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零件几何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CAD 版本、厚度、曲率、翻边、加强筋、孔洞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吸盘跨筋、局部悬空、剥离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材料与状态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材料牌号、屈服强度、表面油量、温度、保护膜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永久变形、滑移、污染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质量属性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质量、重心、惯量、来料偏差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偏载、摆动、制动过载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允许接触区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可吸区、禁吸区、外观 A 面、密封胶/焊点区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印痕、压伤、后工序缺陷</w:t>
            </w:r>
          </w:p>
        </w:tc>
      </w:tr>
      <w:tr>
        <w:trPr>
          <w:cantSplit w:val="true"/>
        </w:trPr>
        <w:tc>
          <w:tcPr>
            <w:tcW w:type="dxa" w:w="18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动作边界</w:t>
            </w:r>
          </w:p>
        </w:tc>
        <w:tc>
          <w:tcPr>
            <w:tcW w:type="dxa" w:w="34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姿态、速度、加速度、急停、路径包络</w:t>
            </w:r>
          </w:p>
        </w:tc>
        <w:tc>
          <w:tcPr>
            <w:tcW w:type="dxa" w:w="408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边缘振动、干涉、脱落</w:t>
            </w:r>
          </w:p>
        </w:tc>
      </w:tr>
    </w:tbl>
    <w:p>
      <w:pPr>
        <w:spacing w:after="40"/>
      </w:pPr>
    </w:p>
    <w:p>
      <w:pPr>
        <w:pStyle w:val="Heading1"/>
      </w:pPr>
      <w:r>
        <w:rPr>
          <w:rFonts w:ascii="Calibri" w:hAnsi="Calibri" w:eastAsia="Microsoft YaHei"/>
        </w:rPr>
        <w:t>02 失效机理与控制变量</w:t>
      </w:r>
    </w:p>
    <w:p>
      <w:pPr>
        <w:pStyle w:val="Heading2"/>
      </w:pPr>
      <w:r>
        <w:rPr>
          <w:rFonts w:ascii="Calibri" w:hAnsi="Calibri" w:eastAsia="Microsoft YaHei"/>
        </w:rPr>
        <w:t>02.1 法向失效：密封破坏与剥离</w:t>
      </w:r>
    </w:p>
    <w:p>
      <w:pPr/>
      <w:r>
        <w:rPr>
          <w:rFonts w:ascii="Calibri" w:hAnsi="Calibri" w:eastAsia="Microsoft YaHei"/>
          <w:sz w:val="22"/>
        </w:rPr>
        <w:t>理想吸附力来自压差与有效面积之积，但真实吸盘会受密封唇变形、表面曲率、油膜、灰尘、沟槽和偏载影响。尤其当夹具姿态改变时，合力作用线偏离吸盘几何中心，会在一侧密封唇产生剥离趋势。剥离不是简单的“总力不足”，而是局部接触边缘先失稳，因此需要控制吸盘局部法向、安装角度和结构柔顺性。</w:t>
      </w:r>
    </w:p>
    <w:p>
      <w:pPr>
        <w:pStyle w:val="AurekEquation"/>
        <w:spacing w:before="80" w:after="160"/>
        <w:jc w:val="center"/>
        <w:shd w:fill="EEF3F7"/>
      </w:pPr>
      <w:r>
        <w:rPr>
          <w:rFonts w:ascii="Consolas" w:hAnsi="Consolas" w:eastAsia="Microsoft YaHei"/>
          <w:color w:val="203748"/>
          <w:sz w:val="19"/>
        </w:rPr>
        <w:t>F_N,usable = (Δp · ΣA_eff · η_seal) / S_N</w:t>
      </w:r>
    </w:p>
    <w:p>
      <w:pPr/>
      <w:r>
        <w:rPr>
          <w:rFonts w:ascii="Calibri" w:hAnsi="Calibri" w:eastAsia="Microsoft YaHei"/>
          <w:sz w:val="22"/>
        </w:rPr>
        <w:t>式中，Δp 为经验证的最低工作压差，A_eff 为各吸盘有效面积，η_seal 为曲率、污染、制造离散和管路损失的综合折减，S_N 为项目安全系数。所有量均应采用最不利而非名义值。</w:t>
      </w:r>
    </w:p>
    <w:p>
      <w:pPr>
        <w:pStyle w:val="Heading2"/>
      </w:pPr>
      <w:r>
        <w:rPr>
          <w:rFonts w:ascii="Calibri" w:hAnsi="Calibri" w:eastAsia="Microsoft YaHei"/>
        </w:rPr>
        <w:t>02.2 切向失效：油膜、加速度与滑移</w:t>
      </w:r>
    </w:p>
    <w:p>
      <w:pPr/>
      <w:r>
        <w:rPr>
          <w:rFonts w:ascii="Calibri" w:hAnsi="Calibri" w:eastAsia="Microsoft YaHei"/>
          <w:sz w:val="22"/>
        </w:rPr>
        <w:t>在钣金接近竖直时，负载主要通过吸盘与板件之间的切向摩擦传递。油膜会显著改变摩擦条件，普通吸盘的台架摩擦系数不能直接套用。供应商公开资料普遍采用纹理或摩擦结构来提升油板切向能力，并强调动态搬运需要专用结构[3][4]。工程验证应同时记录真空、切向位移和运动加速度，识别“真空正常但工件已滑移”的故障。</w:t>
      </w:r>
    </w:p>
    <w:p>
      <w:pPr>
        <w:pStyle w:val="AurekEquation"/>
        <w:spacing w:before="80" w:after="160"/>
        <w:jc w:val="center"/>
        <w:shd w:fill="EEF3F7"/>
      </w:pPr>
      <w:r>
        <w:rPr>
          <w:rFonts w:ascii="Consolas" w:hAnsi="Consolas" w:eastAsia="Microsoft YaHei"/>
          <w:color w:val="203748"/>
          <w:sz w:val="19"/>
        </w:rPr>
        <w:t>F_T,demand = m · |g_t + a_t| + F_disturbance</w:t>
        <w:br/>
        <w:t>F_T,capacity = Σ(μ_i,min · N_i) / S_T</w:t>
      </w:r>
    </w:p>
    <w:p>
      <w:pPr/>
      <w:r>
        <w:rPr>
          <w:rFonts w:ascii="Calibri" w:hAnsi="Calibri" w:eastAsia="Microsoft YaHei"/>
          <w:sz w:val="22"/>
        </w:rPr>
        <w:t>若 F_T,capacity 小于 F_T,demand，应优先降低轨迹加速度、改变姿态、增设防滑支承或更换吸盘结构，而不是仅提高真空度。提高真空度会同步增加局部面压，可能恶化薄板印痕与深拉。</w:t>
      </w:r>
    </w:p>
    <w:p>
      <w:pPr>
        <w:pStyle w:val="Heading2"/>
      </w:pPr>
      <w:r>
        <w:rPr>
          <w:rFonts w:ascii="Calibri" w:hAnsi="Calibri" w:eastAsia="Microsoft YaHei"/>
        </w:rPr>
        <w:t>02.3 形状失效：局部深拉、整体挠曲与边缘振动</w:t>
      </w:r>
    </w:p>
    <w:p>
      <w:pPr/>
      <w:r>
        <w:rPr>
          <w:rFonts w:ascii="Calibri" w:hAnsi="Calibri" w:eastAsia="Microsoft YaHei"/>
          <w:sz w:val="22"/>
        </w:rPr>
        <w:t>薄板抗弯刚度可用板壳弯曲刚度近似表示：</w:t>
      </w:r>
    </w:p>
    <w:p>
      <w:pPr>
        <w:pStyle w:val="AurekEquation"/>
        <w:spacing w:before="80" w:after="160"/>
        <w:jc w:val="center"/>
        <w:shd w:fill="EEF3F7"/>
      </w:pPr>
      <w:r>
        <w:rPr>
          <w:rFonts w:ascii="Consolas" w:hAnsi="Consolas" w:eastAsia="Microsoft YaHei"/>
          <w:color w:val="203748"/>
          <w:sz w:val="19"/>
        </w:rPr>
        <w:t>D = E · t³ / [12 · (1 - ν²)]</w:t>
      </w:r>
    </w:p>
    <w:p>
      <w:pPr/>
      <w:r>
        <w:rPr>
          <w:rFonts w:ascii="Calibri" w:hAnsi="Calibri" w:eastAsia="Microsoft YaHei"/>
          <w:sz w:val="22"/>
        </w:rPr>
        <w:t>在材料和边界相近时，厚度减半会使弯曲刚度降为约八分之一。局部吸盘负压、吸点间距和自由边长度因此可能主导变形。对相似板件，可用 w ∝ qL⁴/D 作为趋势判断：跨度 L 的四次方效应说明“吸点布局”和“支承跨度”通常比继续增加吸力更有效。该比例不能替代复杂曲面、翻边和加强筋条件下的有限元分析。</w:t>
      </w:r>
    </w:p>
    <w:p>
      <w:pPr>
        <w:pStyle w:val="Heading1"/>
      </w:pPr>
      <w:r>
        <w:rPr>
          <w:rFonts w:ascii="Calibri" w:hAnsi="Calibri" w:eastAsia="Microsoft YaHei"/>
        </w:rPr>
        <w:t>03 夹持力与布局的联合设计方法</w:t>
      </w:r>
    </w:p>
    <w:p>
      <w:pPr/>
      <w:r>
        <w:rPr>
          <w:rFonts w:ascii="Calibri" w:hAnsi="Calibri" w:eastAsia="Microsoft YaHei"/>
          <w:sz w:val="22"/>
        </w:rPr>
        <w:t>设计应从最不利工况集合开始：最大质量不一定最危险，重心偏移最大、油膜最厚、局部曲率最小、可吸区最少或急停方向最不利的组合可能更关键。建议把全部工况编码为场景集 G={零件版本、姿态、温度、表面、动作段、异常状态}，对每个场景分别校核。</w:t>
      </w:r>
    </w:p>
    <w:p>
      <w:pPr>
        <w:pStyle w:val="Heading2"/>
      </w:pPr>
      <w:r>
        <w:rPr>
          <w:rFonts w:ascii="Calibri" w:hAnsi="Calibri" w:eastAsia="Microsoft YaHei"/>
        </w:rPr>
        <w:t>03.1 示例计算（仅用于说明方法）</w:t>
      </w:r>
    </w:p>
    <w:p>
      <w:pPr/>
      <w:r>
        <w:rPr>
          <w:rFonts w:ascii="Calibri" w:hAnsi="Calibri" w:eastAsia="Microsoft YaHei"/>
          <w:sz w:val="22"/>
        </w:rPr>
        <w:t>假设某外覆盖件质量 24 kg，采用 6 个直径 80 mm 吸盘，最低验证压差 60 kPa，密封与离散折减 η_seal=0.75，法向安全系数 S_N=2.5。理论总压差力约为 1.81 kN，折减并除以安全系数后的可用法向承载约为 0.54 kN，高于静态重力 0.235 kN。</w:t>
      </w:r>
    </w:p>
    <w:p>
      <w:pPr/>
      <w:r>
        <w:rPr>
          <w:rFonts w:ascii="Calibri" w:hAnsi="Calibri" w:eastAsia="Microsoft YaHei"/>
          <w:sz w:val="22"/>
        </w:rPr>
        <w:t>但若工件竖直、油膜条件下验证得到最低摩擦系数仅 0.20，并采用切向安全系数 2.0，则保守切向能力约为 0.136 kN，低于静态重力，方案不成立。这个例子说明，同一组吸盘可能在水平提升中合格，却在竖直翻转中因切向滑移失败。改进方向包括提高经验证的摩擦能力、增加几何托承、减少竖直段加速度或改变吸点位置。</w:t>
      </w:r>
    </w:p>
    <w:p>
      <w:pPr>
        <w:pStyle w:val="AurekCallout"/>
        <w:spacing w:before="120" w:after="160"/>
        <w:ind w:left="259" w:right="173"/>
        <w:shd w:fill="F4F6F9"/>
        <w:pBdr>
          <w:left w:val="single" w:sz="18" w:space="8" w:color="B78727"/>
        </w:pBdr>
      </w:pPr>
      <w:r>
        <w:rPr>
          <w:rFonts w:ascii="Calibri" w:hAnsi="Calibri" w:eastAsia="Microsoft YaHei"/>
          <w:b/>
          <w:color w:val="203748"/>
          <w:sz w:val="20"/>
        </w:rPr>
        <w:t xml:space="preserve">研究边界  </w:t>
      </w:r>
      <w:r>
        <w:rPr>
          <w:rFonts w:ascii="Calibri" w:hAnsi="Calibri" w:eastAsia="Microsoft YaHei"/>
          <w:sz w:val="20"/>
        </w:rPr>
        <w:t>示例参数不是安睿克产品额定值，也不是项目推荐值。吸盘有效面积、最低真空、摩擦系数和安全系数必须依据具体产品数据、风险评估和真实样件测试确定。</w:t>
      </w:r>
    </w:p>
    <w:p>
      <w:pPr>
        <w:pStyle w:val="Heading2"/>
      </w:pPr>
      <w:r>
        <w:rPr>
          <w:rFonts w:ascii="Calibri" w:hAnsi="Calibri" w:eastAsia="Microsoft YaHei"/>
        </w:rPr>
        <w:t>03.2 布局规则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吸点尽量围绕重心形成多边形，避免全部集中在一条窄带内。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优先靠近局部高刚度区，但不得跨越尖锐筋、孔洞、焊点或禁触区。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每个吸盘中心轴尽量对准局部法向；高度补偿元件只补偿制造和来料偏差，不用于强行压平工件。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对长自由边和大悬伸区增加支撑或缩短跨度，避免用更高真空“拉住”振动边缘。</w:t>
      </w:r>
    </w:p>
    <w:p>
      <w:pPr>
        <w:pStyle w:val="AurekList"/>
        <w:numPr>
          <w:ilvl w:val="0"/>
          <w:numId w:val="11"/>
        </w:numPr>
      </w:pPr>
      <w:r>
        <w:rPr>
          <w:rFonts w:ascii="Calibri" w:hAnsi="Calibri" w:eastAsia="Microsoft YaHei"/>
          <w:sz w:val="21"/>
        </w:rPr>
        <w:t>将真空分区，使单点密封异常不立即拖垮全部回路，同时避免分区后单区能力不足。</w:t>
      </w:r>
    </w:p>
    <w:p>
      <w:pPr>
        <w:pStyle w:val="Heading1"/>
      </w:pPr>
      <w:r>
        <w:rPr>
          <w:rFonts w:ascii="Calibri" w:hAnsi="Calibri" w:eastAsia="Microsoft YaHei"/>
        </w:rPr>
        <w:t>04 外观保护与污染控制</w:t>
      </w:r>
    </w:p>
    <w:p>
      <w:pPr/>
      <w:r>
        <w:rPr>
          <w:rFonts w:ascii="Calibri" w:hAnsi="Calibri" w:eastAsia="Microsoft YaHei"/>
          <w:sz w:val="22"/>
        </w:rPr>
        <w:t>外观保护不是单一的“无痕吸盘”选型。吸盘材料、硬度、表面纹理、接触滑移、吸附时间、温度、油品、清洁剂、粉尘和重复使用次数都会影响印痕与污染。对漆前外覆盖件，还要关注硅类或其他可能影响涂装的物质；任何材料相容性声明应由供应商文件和客户工艺批准共同支持。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500"/>
        <w:gridCol w:w="2160"/>
        <w:gridCol w:w="2700"/>
        <w:gridCol w:w="3000"/>
      </w:tblGrid>
      <w:tr>
        <w:trPr>
          <w:cantSplit w:val="true"/>
          <w:tblHeader w:val="true"/>
        </w:trPr>
        <w:tc>
          <w:tcPr>
            <w:tcW w:type="dxa" w:w="15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风险</w:t>
            </w:r>
          </w:p>
        </w:tc>
        <w:tc>
          <w:tcPr>
            <w:tcW w:type="dxa" w:w="21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形成机制</w:t>
            </w:r>
          </w:p>
        </w:tc>
        <w:tc>
          <w:tcPr>
            <w:tcW w:type="dxa" w:w="27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设计控制</w:t>
            </w:r>
          </w:p>
        </w:tc>
        <w:tc>
          <w:tcPr>
            <w:tcW w:type="dxa" w:w="30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验证证据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环形印痕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局部面压、密封唇滑移、长时间保持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限制真空与接触时间、优化支撑、选择适配材料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规定光照下外观检查、轮廓或成像记录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划伤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吸盘或手套夹带硬颗粒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清洁分级、封闭存放、换班点检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清洁记录与放大检查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油膜迁移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接触件携油跨区域转移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工装分区、定向清洁、禁混用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表面洁净度或后工序确认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局部凹陷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吸盘腔深拉或支撑点集中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内支撑、增大支承面积、降低跨度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三维扫描/检具对比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涂装污染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材料析出或清洁剂残留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材料批准、化学相容性验证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客户工艺认可或专项试验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外观检查应定义观察面、照度、角度、距离、等待时间和清洁方法。吸盘刚移除时出现的可恢复痕迹与永久变形应分开判定。没有统一条件的“目视无痕”结论缺乏可重复性。</w:t>
      </w:r>
    </w:p>
    <w:p>
      <w:pPr>
        <w:pStyle w:val="Heading1"/>
      </w:pPr>
      <w:r>
        <w:rPr>
          <w:rFonts w:ascii="Calibri" w:hAnsi="Calibri" w:eastAsia="Microsoft YaHei"/>
        </w:rPr>
        <w:t>05 仿真、台架与真实样件验证</w:t>
      </w:r>
    </w:p>
    <w:p>
      <w:pPr/>
      <w:r>
        <w:rPr>
          <w:rFonts w:ascii="Calibri" w:hAnsi="Calibri" w:eastAsia="Microsoft YaHei"/>
          <w:sz w:val="22"/>
        </w:rPr>
        <w:t>建议采用三级验证。第一级为解析校核和容差分析，用于淘汰明显不满足的方案；第二级为有限元或数字样机，识别薄板挠曲、局部压痕、吸点载荷分配和轨迹包络；第三级为真实样件试验，确认密封、滑移、变形与外观。仿真无法可靠覆盖表面油量、粉尘、吸盘磨损和清洁状态，因此不能替代实物测试。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500"/>
        <w:gridCol w:w="2160"/>
        <w:gridCol w:w="2700"/>
        <w:gridCol w:w="3000"/>
      </w:tblGrid>
      <w:tr>
        <w:trPr>
          <w:cantSplit w:val="true"/>
          <w:tblHeader w:val="true"/>
        </w:trPr>
        <w:tc>
          <w:tcPr>
            <w:tcW w:type="dxa" w:w="15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验证项目</w:t>
            </w:r>
          </w:p>
        </w:tc>
        <w:tc>
          <w:tcPr>
            <w:tcW w:type="dxa" w:w="21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输入条件</w:t>
            </w:r>
          </w:p>
        </w:tc>
        <w:tc>
          <w:tcPr>
            <w:tcW w:type="dxa" w:w="27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建议测量</w:t>
            </w:r>
          </w:p>
        </w:tc>
        <w:tc>
          <w:tcPr>
            <w:tcW w:type="dxa" w:w="30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合格逻辑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吸附建立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曲率与来料偏差组合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各区真空建立时间、贴合状态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每区达到项目阈值后才允许提升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静态保持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最低真空、最长停留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压力衰减、位移、外观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规定时间内不越过警戒阈值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动态搬运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最大速度、加速度、急停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加速度、真空、滑移、边缘振幅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不脱落、不超位移、不越形变限值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单点故障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单吸盘泄漏或遮断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分区压力、控制响应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进入保守状态且有安全落位余量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外观复检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温度、油量、重复次数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光学检查、三维对比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满足客户外观与尺寸规则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耐久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代表性循环与清洁周期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吸盘磨损、真空趋势、换件点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趋势可监测且维护周期可执行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动态试验必须覆盖起动、制动、转向、翻转中间姿态和异常停止。仅做“吊起后静置”不能代表生产轨迹。若工件会从水平变为竖直，应分别验证法向承载、切向抗滑和剥离最不利姿态。</w:t>
      </w:r>
    </w:p>
    <w:p>
      <w:pPr>
        <w:pStyle w:val="Heading1"/>
      </w:pPr>
      <w:r>
        <w:rPr>
          <w:rFonts w:ascii="Calibri" w:hAnsi="Calibri" w:eastAsia="Microsoft YaHei"/>
        </w:rPr>
        <w:t>06 FMEA 与故障控制</w:t>
      </w:r>
    </w:p>
    <w:tbl>
      <w:tblPr>
        <w:tblStyle w:val="TableGrid"/>
        <w:tblLook w:firstColumn="1" w:firstRow="1" w:lastColumn="0" w:lastRow="0" w:noHBand="0" w:noVBand="1" w:val="04A0"/>
        <w:tblW w:w="9360" w:type="dxa"/>
        <w:tblInd w:w="120" w:type="dxa"/>
        <w:tblLayout w:type="fixed"/>
        <w:tblCellMar>
          <w:top w:w="80" w:type="dxa"/>
          <w:start w:w="120" w:type="dxa"/>
          <w:bottom w:w="80" w:type="dxa"/>
          <w:end w:w="120" w:type="dxa"/>
        </w:tblCellMar>
      </w:tblPr>
      <w:tblGrid>
        <w:gridCol w:w="1500"/>
        <w:gridCol w:w="2160"/>
        <w:gridCol w:w="2700"/>
        <w:gridCol w:w="3000"/>
      </w:tblGrid>
      <w:tr>
        <w:trPr>
          <w:cantSplit w:val="true"/>
          <w:tblHeader w:val="true"/>
        </w:trPr>
        <w:tc>
          <w:tcPr>
            <w:tcW w:type="dxa" w:w="15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失效模式</w:t>
            </w:r>
          </w:p>
        </w:tc>
        <w:tc>
          <w:tcPr>
            <w:tcW w:type="dxa" w:w="216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主要后果</w:t>
            </w:r>
          </w:p>
        </w:tc>
        <w:tc>
          <w:tcPr>
            <w:tcW w:type="dxa" w:w="27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现有/建议控制</w:t>
            </w:r>
          </w:p>
        </w:tc>
        <w:tc>
          <w:tcPr>
            <w:tcW w:type="dxa" w:w="3000"/>
            <w:shd w:fill="2E74B5"/>
            <w:vAlign w:val="center"/>
          </w:tcPr>
          <w:p>
            <w:pPr>
              <w:pStyle w:val="AurekTable"/>
              <w:jc w:val="center"/>
            </w:pPr>
            <w:r>
              <w:rPr>
                <w:rFonts w:ascii="Calibri" w:hAnsi="Calibri" w:eastAsia="Microsoft YaHei"/>
                <w:b/>
                <w:color w:val="FFFFFF"/>
                <w:sz w:val="18"/>
              </w:rPr>
              <w:t>验证方法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单吸盘密封失效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载荷重分配、剥离扩展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真空分区、止回、单区监测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故障注入与保持时间测试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油膜导致滑移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定位偏差或坠落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高摩擦结构、托承、轨迹限加速度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最不利油量动态试验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吸盘跨筋/孔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真空建立慢或假吸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CAD 禁限区、视觉/到位确认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多版本样件检查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薄板深拉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外观凹陷、尺寸超差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内支撑、降低局部压差、缩短跨度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三维扫描与检具检查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吸盘磨损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泄漏上升、印痕变化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寿命计数、趋势监测、点检标准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耐久后复测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型号配方错误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吸点落入禁区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零件识别、夹具/配方一致性联锁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错配故障注入</w:t>
            </w:r>
          </w:p>
        </w:tc>
      </w:tr>
      <w:tr>
        <w:trPr>
          <w:cantSplit w:val="true"/>
        </w:trPr>
        <w:tc>
          <w:tcPr>
            <w:tcW w:type="dxa" w:w="1500"/>
            <w:shd w:fill="F2F4F7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误释放</w:t>
            </w:r>
          </w:p>
        </w:tc>
        <w:tc>
          <w:tcPr>
            <w:tcW w:type="dxa" w:w="216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工件坠落或磕碰</w:t>
            </w:r>
          </w:p>
        </w:tc>
        <w:tc>
          <w:tcPr>
            <w:tcW w:type="dxa" w:w="27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受托确认、双条件释放、控制验证</w:t>
            </w:r>
          </w:p>
        </w:tc>
        <w:tc>
          <w:tcPr>
            <w:tcW w:type="dxa" w:w="3000"/>
            <w:vAlign w:val="center"/>
          </w:tcPr>
          <w:p>
            <w:pPr>
              <w:pStyle w:val="AurekTable"/>
              <w:jc w:val="left"/>
            </w:pPr>
            <w:r>
              <w:rPr>
                <w:rFonts w:ascii="Calibri" w:hAnsi="Calibri" w:eastAsia="Microsoft YaHei"/>
                <w:sz w:val="18"/>
              </w:rPr>
              <w:t>在非落位状态发出释放命令</w:t>
            </w:r>
          </w:p>
        </w:tc>
      </w:tr>
    </w:tbl>
    <w:p>
      <w:pPr>
        <w:spacing w:after="40"/>
      </w:pPr>
    </w:p>
    <w:p>
      <w:pPr/>
      <w:r>
        <w:rPr>
          <w:rFonts w:ascii="Calibri" w:hAnsi="Calibri" w:eastAsia="Microsoft YaHei"/>
          <w:sz w:val="22"/>
        </w:rPr>
        <w:t>FMEA 排序不应只依赖主观 RPN。对可能造成坠落、人身伤害或重大产品损失的失效，即使发生概率估计较低，也应优先采用本质安全、几何承托、能量保持和防误释放措施。控制系统安全功能的性能等级应由项目风险评估确定，而不是由本文直接指定[5][7]。</w:t>
      </w:r>
    </w:p>
    <w:p>
      <w:pPr>
        <w:pStyle w:val="Heading1"/>
      </w:pPr>
      <w:r>
        <w:rPr>
          <w:rFonts w:ascii="Calibri" w:hAnsi="Calibri" w:eastAsia="Microsoft YaHei"/>
        </w:rPr>
        <w:t>07 工程实施与验收资料包</w:t>
      </w:r>
    </w:p>
    <w:p>
      <w:pPr/>
      <w:r>
        <w:rPr>
          <w:rFonts w:ascii="Calibri" w:hAnsi="Calibri" w:eastAsia="Microsoft YaHei"/>
          <w:sz w:val="22"/>
        </w:rPr>
        <w:t>推荐将项目分为数据冻结、概念评审、样件试验、设计冻结、FAT、现场 SAT 和量产监控七个节点。每个节点都要保持零件版本、夹具版本和动作配方可追溯。任何板厚、材料、冲压工艺、油品、加强筋或外观标准变化，都应触发影响评估。</w:t>
      </w:r>
    </w:p>
    <w:p>
      <w:pPr/>
      <w:r>
        <w:rPr>
          <w:rFonts w:ascii="Calibri" w:hAnsi="Calibri" w:eastAsia="Microsoft YaHei"/>
          <w:b/>
          <w:color w:val="203748"/>
          <w:sz w:val="22"/>
        </w:rPr>
        <w:t>最低交付证据</w:t>
      </w:r>
    </w:p>
    <w:p>
      <w:pPr>
        <w:pStyle w:val="AurekList"/>
        <w:numPr>
          <w:ilvl w:val="0"/>
          <w:numId w:val="12"/>
        </w:numPr>
      </w:pPr>
      <w:r>
        <w:rPr>
          <w:rFonts w:ascii="Calibri" w:hAnsi="Calibri" w:eastAsia="Microsoft YaHei"/>
          <w:sz w:val="21"/>
        </w:rPr>
        <w:t>零件族参数矩阵、允许接触区与禁限区图。</w:t>
      </w:r>
    </w:p>
    <w:p>
      <w:pPr>
        <w:pStyle w:val="AurekList"/>
        <w:numPr>
          <w:ilvl w:val="0"/>
          <w:numId w:val="12"/>
        </w:numPr>
      </w:pPr>
      <w:r>
        <w:rPr>
          <w:rFonts w:ascii="Calibri" w:hAnsi="Calibri" w:eastAsia="Microsoft YaHei"/>
          <w:sz w:val="21"/>
        </w:rPr>
        <w:t>载荷工况表、吸附与抗滑计算书、假设与折减来源。</w:t>
      </w:r>
    </w:p>
    <w:p>
      <w:pPr>
        <w:pStyle w:val="AurekList"/>
        <w:numPr>
          <w:ilvl w:val="0"/>
          <w:numId w:val="12"/>
        </w:numPr>
      </w:pPr>
      <w:r>
        <w:rPr>
          <w:rFonts w:ascii="Calibri" w:hAnsi="Calibri" w:eastAsia="Microsoft YaHei"/>
          <w:sz w:val="21"/>
        </w:rPr>
        <w:t>吸点布局图、真空分区图、管路与传感器清单。</w:t>
      </w:r>
    </w:p>
    <w:p>
      <w:pPr>
        <w:pStyle w:val="AurekList"/>
        <w:numPr>
          <w:ilvl w:val="0"/>
          <w:numId w:val="12"/>
        </w:numPr>
      </w:pPr>
      <w:r>
        <w:rPr>
          <w:rFonts w:ascii="Calibri" w:hAnsi="Calibri" w:eastAsia="Microsoft YaHei"/>
          <w:sz w:val="21"/>
        </w:rPr>
        <w:t>轨迹速度/加速度边界、急停和失压状态定义。</w:t>
      </w:r>
    </w:p>
    <w:p>
      <w:pPr>
        <w:pStyle w:val="AurekList"/>
        <w:numPr>
          <w:ilvl w:val="0"/>
          <w:numId w:val="12"/>
        </w:numPr>
      </w:pPr>
      <w:r>
        <w:rPr>
          <w:rFonts w:ascii="Calibri" w:hAnsi="Calibri" w:eastAsia="Microsoft YaHei"/>
          <w:sz w:val="21"/>
        </w:rPr>
        <w:t>真实样件试验原始数据、照片、三维或检具报告。</w:t>
      </w:r>
    </w:p>
    <w:p>
      <w:pPr>
        <w:pStyle w:val="AurekList"/>
        <w:numPr>
          <w:ilvl w:val="0"/>
          <w:numId w:val="12"/>
        </w:numPr>
      </w:pPr>
      <w:r>
        <w:rPr>
          <w:rFonts w:ascii="Calibri" w:hAnsi="Calibri" w:eastAsia="Microsoft YaHei"/>
          <w:sz w:val="21"/>
        </w:rPr>
        <w:t>FMEA、风险评估、控制逻辑、维护和复位说明。</w:t>
      </w:r>
    </w:p>
    <w:p>
      <w:pPr>
        <w:pStyle w:val="AurekList"/>
        <w:numPr>
          <w:ilvl w:val="0"/>
          <w:numId w:val="12"/>
        </w:numPr>
      </w:pPr>
      <w:r>
        <w:rPr>
          <w:rFonts w:ascii="Calibri" w:hAnsi="Calibri" w:eastAsia="Microsoft YaHei"/>
          <w:sz w:val="21"/>
        </w:rPr>
        <w:t>首件、换型、清洁、吸盘更换与异常放行记录模板。</w:t>
      </w:r>
    </w:p>
    <w:p>
      <w:pPr>
        <w:pStyle w:val="Heading1"/>
      </w:pPr>
      <w:r>
        <w:rPr>
          <w:rFonts w:ascii="Calibri" w:hAnsi="Calibri" w:eastAsia="Microsoft YaHei"/>
        </w:rPr>
        <w:t>08 结论与适用限制</w:t>
      </w:r>
    </w:p>
    <w:p>
      <w:pPr/>
      <w:r>
        <w:rPr>
          <w:rFonts w:ascii="Calibri" w:hAnsi="Calibri" w:eastAsia="Microsoft YaHei"/>
          <w:sz w:val="22"/>
        </w:rPr>
        <w:t>大型汽车钣金件搬运的本质，是在柔性工件、动态载荷和高外观要求之间寻找可验证的平衡。可靠方案应同时满足法向吸附、切向抗滑、局部剥离、整体挠曲、外观与污染控制，并通过最不利样件和真实轨迹验证。若只证明“总吸力大于重量”，仍不足以支持工程放行。</w:t>
      </w:r>
    </w:p>
    <w:p>
      <w:pPr/>
      <w:r>
        <w:rPr>
          <w:rFonts w:ascii="Calibri" w:hAnsi="Calibri" w:eastAsia="Microsoft YaHei"/>
          <w:sz w:val="22"/>
        </w:rPr>
        <w:t>本文方法适合方案设计、技术协议、验证计划和设计评审，不构成产品认证、第三方型式试验或客户验收证明。具体项目必须由具备相应能力的机械、电气、安全和质量人员结合现行法规、标准、供应商数据和客户规范完成最终确认。</w:t>
      </w:r>
    </w:p>
    <w:p>
      <w:pPr>
        <w:pStyle w:val="Heading1"/>
        <w:pageBreakBefore/>
      </w:pPr>
      <w:r>
        <w:rPr>
          <w:rFonts w:ascii="Calibri" w:hAnsi="Calibri" w:eastAsia="Microsoft YaHei"/>
        </w:rPr>
        <w:t>参考文献</w:t>
      </w:r>
    </w:p>
    <w:p>
      <w:pPr>
        <w:pStyle w:val="AurekSource"/>
        <w:numPr>
          <w:ilvl w:val="0"/>
          <w:numId w:val="13"/>
        </w:numPr>
      </w:pPr>
      <w:r>
        <w:rPr>
          <w:rFonts w:ascii="Calibri" w:hAnsi="Calibri" w:eastAsia="Microsoft YaHei"/>
          <w:sz w:val="17"/>
        </w:rPr>
        <w:t xml:space="preserve">Liao, Y. G. Non-linear and explicit finite element analysis in dynamic responses of handling sheet-metal parts. Proceedings of the Institution of Mechanical Engineers, Part B, 2007. </w:t>
      </w:r>
      <w:hyperlink r:id="rId12">
        <w:r>
          <w:rPr>
            <w:rFonts w:ascii="Calibri" w:hAnsi="Calibri" w:eastAsia="Microsoft YaHei"/>
            <w:color w:val="2E74B5"/>
            <w:u w:val="single"/>
          </w:rPr>
          <w:t>https://doi.org/10.1243/09544054JEM768</w:t>
        </w:r>
      </w:hyperlink>
    </w:p>
    <w:p>
      <w:pPr>
        <w:pStyle w:val="AurekSource"/>
        <w:numPr>
          <w:ilvl w:val="0"/>
          <w:numId w:val="13"/>
        </w:numPr>
      </w:pPr>
      <w:r>
        <w:rPr>
          <w:rFonts w:ascii="Calibri" w:hAnsi="Calibri" w:eastAsia="Microsoft YaHei"/>
          <w:sz w:val="17"/>
        </w:rPr>
        <w:t xml:space="preserve">Modelling for Control of Vacuum Grippers in Automatically Reconfigurable Fixturing Systems for Thin-walled Workpieces. Procedia CIRP 115, 2022, 226-231. </w:t>
      </w:r>
      <w:hyperlink r:id="rId13">
        <w:r>
          <w:rPr>
            <w:rFonts w:ascii="Calibri" w:hAnsi="Calibri" w:eastAsia="Microsoft YaHei"/>
            <w:color w:val="2E74B5"/>
            <w:u w:val="single"/>
          </w:rPr>
          <w:t>https://doi.org/10.1016/j.procir.2022.10.078</w:t>
        </w:r>
      </w:hyperlink>
    </w:p>
    <w:p>
      <w:pPr>
        <w:pStyle w:val="AurekSource"/>
        <w:numPr>
          <w:ilvl w:val="0"/>
          <w:numId w:val="13"/>
        </w:numPr>
      </w:pPr>
      <w:r>
        <w:rPr>
          <w:rFonts w:ascii="Calibri" w:hAnsi="Calibri" w:eastAsia="Microsoft YaHei"/>
          <w:sz w:val="17"/>
        </w:rPr>
        <w:t xml:space="preserve">J. Schmalz GmbH. Flat Suction Cups SAF / suction cups for handling sheet metal. </w:t>
      </w:r>
      <w:hyperlink r:id="rId14">
        <w:r>
          <w:rPr>
            <w:rFonts w:ascii="Calibri" w:hAnsi="Calibri" w:eastAsia="Microsoft YaHei"/>
            <w:color w:val="2E74B5"/>
            <w:u w:val="single"/>
          </w:rPr>
          <w:t>https://www.schmalz.com/en/vacuum-technology-for-automation/vacuum-components/vacuum-suction-cups/suction-cups-for-handling-sheet-metal/flat-suction-cups-saf-303827</w:t>
        </w:r>
      </w:hyperlink>
    </w:p>
    <w:p>
      <w:pPr>
        <w:pStyle w:val="AurekSource"/>
        <w:numPr>
          <w:ilvl w:val="0"/>
          <w:numId w:val="13"/>
        </w:numPr>
      </w:pPr>
      <w:r>
        <w:rPr>
          <w:rFonts w:ascii="Calibri" w:hAnsi="Calibri" w:eastAsia="Microsoft YaHei"/>
          <w:sz w:val="17"/>
        </w:rPr>
        <w:t xml:space="preserve">Piab. Automotive suction cups for press shop and body assembly. </w:t>
      </w:r>
      <w:hyperlink r:id="rId15">
        <w:r>
          <w:rPr>
            <w:rFonts w:ascii="Calibri" w:hAnsi="Calibri" w:eastAsia="Microsoft YaHei"/>
            <w:color w:val="2E74B5"/>
            <w:u w:val="single"/>
          </w:rPr>
          <w:t>https://www.piab.com/globalassets/documents/document-centre/brochures/us-auto/0232753_rev00_en-us_brochure_pa-cups.pdf</w:t>
        </w:r>
      </w:hyperlink>
    </w:p>
    <w:p>
      <w:pPr>
        <w:pStyle w:val="AurekSource"/>
        <w:numPr>
          <w:ilvl w:val="0"/>
          <w:numId w:val="13"/>
        </w:numPr>
      </w:pPr>
      <w:r>
        <w:rPr>
          <w:rFonts w:ascii="Calibri" w:hAnsi="Calibri" w:eastAsia="Microsoft YaHei"/>
          <w:sz w:val="17"/>
        </w:rPr>
        <w:t xml:space="preserve">ISO 12100:2010. Safety of machinery - General principles for design - Risk assessment and risk reduction. </w:t>
      </w:r>
      <w:hyperlink r:id="rId16">
        <w:r>
          <w:rPr>
            <w:rFonts w:ascii="Calibri" w:hAnsi="Calibri" w:eastAsia="Microsoft YaHei"/>
            <w:color w:val="2E74B5"/>
            <w:u w:val="single"/>
          </w:rPr>
          <w:t>https://www.iso.org/standard/51528.html</w:t>
        </w:r>
      </w:hyperlink>
    </w:p>
    <w:p>
      <w:pPr>
        <w:pStyle w:val="AurekSource"/>
        <w:numPr>
          <w:ilvl w:val="0"/>
          <w:numId w:val="13"/>
        </w:numPr>
      </w:pPr>
      <w:r>
        <w:rPr>
          <w:rFonts w:ascii="Calibri" w:hAnsi="Calibri" w:eastAsia="Microsoft YaHei"/>
          <w:sz w:val="17"/>
        </w:rPr>
        <w:t xml:space="preserve">ISO 4414:2010. Pneumatic fluid power - General rules and safety requirements for systems and their components. </w:t>
      </w:r>
      <w:hyperlink r:id="rId17">
        <w:r>
          <w:rPr>
            <w:rFonts w:ascii="Calibri" w:hAnsi="Calibri" w:eastAsia="Microsoft YaHei"/>
            <w:color w:val="2E74B5"/>
            <w:u w:val="single"/>
          </w:rPr>
          <w:t>https://www.iso.org/standard/44790.html</w:t>
        </w:r>
      </w:hyperlink>
    </w:p>
    <w:p>
      <w:pPr>
        <w:pStyle w:val="AurekSource"/>
        <w:numPr>
          <w:ilvl w:val="0"/>
          <w:numId w:val="13"/>
        </w:numPr>
      </w:pPr>
      <w:r>
        <w:rPr>
          <w:rFonts w:ascii="Calibri" w:hAnsi="Calibri" w:eastAsia="Microsoft YaHei"/>
          <w:sz w:val="17"/>
        </w:rPr>
        <w:t xml:space="preserve">ISO 13849-1:2023. Safety of machinery - Safety-related parts of control systems - Part 1: General principles for design. </w:t>
      </w:r>
      <w:hyperlink r:id="rId18">
        <w:r>
          <w:rPr>
            <w:rFonts w:ascii="Calibri" w:hAnsi="Calibri" w:eastAsia="Microsoft YaHei"/>
            <w:color w:val="2E74B5"/>
            <w:u w:val="single"/>
          </w:rPr>
          <w:t>https://www.iso.org/standard/73481.html</w:t>
        </w:r>
      </w:hyperlink>
    </w:p>
    <w:p>
      <w:pPr>
        <w:pStyle w:val="AurekSource"/>
        <w:numPr>
          <w:ilvl w:val="0"/>
          <w:numId w:val="13"/>
        </w:numPr>
      </w:pPr>
      <w:r>
        <w:rPr>
          <w:rFonts w:ascii="Calibri" w:hAnsi="Calibri" w:eastAsia="Microsoft YaHei"/>
          <w:sz w:val="17"/>
        </w:rPr>
        <w:t xml:space="preserve">ISO/TR 20218-1:2018. Robotics - Safety design for industrial robot systems - Part 1: End-effectors. </w:t>
      </w:r>
      <w:hyperlink r:id="rId19">
        <w:r>
          <w:rPr>
            <w:rFonts w:ascii="Calibri" w:hAnsi="Calibri" w:eastAsia="Microsoft YaHei"/>
            <w:color w:val="2E74B5"/>
            <w:u w:val="single"/>
          </w:rPr>
          <w:t>https://www.iso.org/standard/69488.html</w:t>
        </w:r>
      </w:hyperlink>
    </w:p>
    <w:sectPr w:rsidR="00FC693F" w:rsidRPr="0006063C" w:rsidSect="00034616">
      <w:headerReference w:type="default" r:id="rId9"/>
      <w:footerReference w:type="default" r:id="rId10"/>
      <w:pgSz w:w="12240" w:h="15840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spacing w:before="0"/>
      <w:jc w:val="right"/>
    </w:pPr>
    <w:r>
      <w:rPr>
        <w:rFonts w:ascii="Calibri" w:hAnsi="Calibri" w:eastAsia="Microsoft YaHei"/>
        <w:color w:val="5D6670"/>
        <w:sz w:val="17"/>
      </w:rPr>
      <w:t xml:space="preserve">PAGE </w:t>
      <w:fldChar w:fldCharType="begin"/>
      <w:instrText xml:space="preserve"> PAGE </w:instrText>
      <w:fldChar w:fldCharType="separate"/>
      <w:t>1</w: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tabs>
        <w:tab w:pos="9360" w:val="left"/>
      </w:tabs>
      <w:spacing w:after="0"/>
      <w:jc w:val="left"/>
    </w:pPr>
    <w:r>
      <w:rPr>
        <w:rFonts w:ascii="Calibri" w:hAnsi="Calibri" w:eastAsia="Microsoft YaHei"/>
        <w:b/>
        <w:color w:val="5D6670"/>
        <w:sz w:val="16"/>
      </w:rPr>
      <w:t>AUREK TECHNICAL RESEARCH</w:t>
    </w:r>
    <w:r>
      <w:tab/>
    </w:r>
    <w:r>
      <w:rPr>
        <w:rFonts w:ascii="Calibri" w:hAnsi="Calibri" w:eastAsia="Microsoft YaHei"/>
        <w:color w:val="5D6670"/>
        <w:sz w:val="16"/>
      </w:rPr>
      <w:t>AUREK-RC-AR-037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">
    <w:multiLevelType w:val="singleLevel"/>
    <w:lvl w:ilvl="0">
      <w:start w:val="1"/>
      <w:numFmt w:val="bullet"/>
      <w:lvlText w:val="•"/>
      <w:suff w:val="tab"/>
      <w:pPr>
        <w:tabs>
          <w:tab w:val="num" w:pos="720"/>
        </w:tabs>
        <w:ind w:left="720" w:hanging="360"/>
        <w:spacing w:after="160" w:line="280" w:lineRule="auto"/>
      </w:pPr>
      <w:rPr>
        <w:rFonts w:ascii="Arial" w:hAnsi="Arial"/>
      </w:rPr>
    </w:lvl>
  </w:abstractNum>
  <w:abstractNum w:abstractNumId="10">
    <w:multiLevelType w:val="singleLevel"/>
    <w:lvl w:ilvl="0">
      <w:start w:val="1"/>
      <w:numFmt w:val="decimal"/>
      <w:lvlText w:val="%1."/>
      <w:suff w:val="tab"/>
      <w:pPr>
        <w:tabs>
          <w:tab w:val="num" w:pos="720"/>
        </w:tabs>
        <w:ind w:left="720" w:hanging="360"/>
        <w:spacing w:after="160" w:line="280" w:lineRule="auto"/>
      </w:pPr>
    </w:lvl>
  </w:abstractNum>
  <w:num w:numId="10">
    <w:abstractNumId w:val="9"/>
    <w:lvlOverride w:ilvl="0">
      <w:startOverride w:val="1"/>
    </w:lvlOverride>
  </w:num>
  <w:num w:numId="11">
    <w:abstractNumId w:val="9"/>
    <w:lvlOverride w:ilvl="0">
      <w:startOverride w:val="1"/>
    </w:lvlOverride>
  </w:num>
  <w:num w:numId="12">
    <w:abstractNumId w:val="9"/>
    <w:lvlOverride w:ilvl="0">
      <w:startOverride w:val="1"/>
    </w:lvlOverride>
  </w:num>
  <w:num w:numId="13">
    <w:abstractNumId w:val="1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widowControl/>
      <w:spacing w:before="0" w:after="120" w:line="264" w:lineRule="auto"/>
    </w:pPr>
    <w:rPr>
      <w:rFonts w:ascii="Calibri" w:hAnsi="Calibri" w:eastAsia="Microsoft YaHei"/>
      <w:b w:val="0"/>
      <w:color w:val="22262A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320" w:after="160"/>
      <w:outlineLvl w:val="0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 w:ascii="Calibri" w:hAnsi="Calibri" w:eastAsia="Microsoft YaHei"/>
      <w:b/>
      <w:bCs/>
      <w:color w:val="2E74B5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Calibri" w:hAnsi="Calibri" w:eastAsia="Microsoft YaHei"/>
      <w:b/>
      <w:bCs/>
      <w:color w:val="1F4D78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urekContents">
    <w:name w:val="Aurek Contents"/>
    <w:basedOn w:val="Normal"/>
    <w:pPr>
      <w:spacing w:after="120" w:line="264" w:lineRule="auto"/>
    </w:pPr>
    <w:rPr>
      <w:rFonts w:ascii="Calibri" w:hAnsi="Calibri" w:eastAsia="Microsoft YaHei"/>
      <w:b w:val="0"/>
      <w:color w:val="5D6670"/>
      <w:sz w:val="21"/>
    </w:rPr>
  </w:style>
  <w:style w:type="paragraph" w:customStyle="1" w:styleId="AurekTable">
    <w:name w:val="Aurek Table"/>
    <w:basedOn w:val="Normal"/>
    <w:pPr>
      <w:spacing w:after="120" w:line="264" w:lineRule="auto"/>
    </w:pPr>
    <w:rPr>
      <w:rFonts w:ascii="Calibri" w:hAnsi="Calibri" w:eastAsia="Microsoft YaHei"/>
      <w:b w:val="0"/>
      <w:color w:val="22262A"/>
      <w:sz w:val="18"/>
    </w:rPr>
  </w:style>
  <w:style w:type="paragraph" w:customStyle="1" w:styleId="AurekEquation">
    <w:name w:val="Aurek Equation"/>
    <w:basedOn w:val="Normal"/>
    <w:pPr>
      <w:spacing w:after="120" w:line="264" w:lineRule="auto"/>
    </w:pPr>
    <w:rPr>
      <w:rFonts w:ascii="Calibri" w:hAnsi="Calibri" w:eastAsia="Microsoft YaHei"/>
      <w:b w:val="0"/>
      <w:color w:val="203748"/>
      <w:sz w:val="19"/>
    </w:rPr>
  </w:style>
  <w:style w:type="paragraph" w:customStyle="1" w:styleId="AurekSource">
    <w:name w:val="Aurek Source"/>
    <w:basedOn w:val="Normal"/>
    <w:pPr>
      <w:spacing w:after="120" w:line="264" w:lineRule="auto"/>
    </w:pPr>
    <w:rPr>
      <w:rFonts w:ascii="Calibri" w:hAnsi="Calibri" w:eastAsia="Microsoft YaHei"/>
      <w:b w:val="0"/>
      <w:color w:val="5D6670"/>
      <w:sz w:val="17"/>
    </w:rPr>
  </w:style>
  <w:style w:type="paragraph" w:customStyle="1" w:styleId="AurekCallout">
    <w:name w:val="Aurek Callout"/>
    <w:basedOn w:val="Normal"/>
    <w:pPr>
      <w:spacing w:after="120" w:line="264" w:lineRule="auto"/>
    </w:pPr>
    <w:rPr>
      <w:rFonts w:ascii="Calibri" w:hAnsi="Calibri" w:eastAsia="Microsoft YaHei"/>
      <w:b w:val="0"/>
      <w:color w:val="203748"/>
      <w:sz w:val="20"/>
    </w:rPr>
  </w:style>
  <w:style w:type="paragraph" w:customStyle="1" w:styleId="AurekList">
    <w:name w:val="Aurek List"/>
    <w:basedOn w:val="Normal"/>
    <w:pPr>
      <w:spacing w:after="120" w:line="280" w:lineRule="auto"/>
    </w:pPr>
    <w:rPr>
      <w:rFonts w:ascii="Calibri" w:hAnsi="Calibri" w:eastAsia="Microsoft YaHei"/>
      <w:b w:val="0"/>
      <w:color w:val="22262A"/>
      <w:sz w:val="2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Relationship Id="rId11" Type="http://schemas.openxmlformats.org/officeDocument/2006/relationships/image" Target="media/image1.png"/><Relationship Id="rId12" Type="http://schemas.openxmlformats.org/officeDocument/2006/relationships/hyperlink" Target="https://doi.org/10.1243/09544054JEM768" TargetMode="External"/><Relationship Id="rId13" Type="http://schemas.openxmlformats.org/officeDocument/2006/relationships/hyperlink" Target="https://doi.org/10.1016/j.procir.2022.10.078" TargetMode="External"/><Relationship Id="rId14" Type="http://schemas.openxmlformats.org/officeDocument/2006/relationships/hyperlink" Target="https://www.schmalz.com/en/vacuum-technology-for-automation/vacuum-components/vacuum-suction-cups/suction-cups-for-handling-sheet-metal/flat-suction-cups-saf-303827" TargetMode="External"/><Relationship Id="rId15" Type="http://schemas.openxmlformats.org/officeDocument/2006/relationships/hyperlink" Target="https://www.piab.com/globalassets/documents/document-centre/brochures/us-auto/0232753_rev00_en-us_brochure_pa-cups.pdf" TargetMode="External"/><Relationship Id="rId16" Type="http://schemas.openxmlformats.org/officeDocument/2006/relationships/hyperlink" Target="https://www.iso.org/standard/51528.html" TargetMode="External"/><Relationship Id="rId17" Type="http://schemas.openxmlformats.org/officeDocument/2006/relationships/hyperlink" Target="https://www.iso.org/standard/44790.html" TargetMode="External"/><Relationship Id="rId18" Type="http://schemas.openxmlformats.org/officeDocument/2006/relationships/hyperlink" Target="https://www.iso.org/standard/73481.html" TargetMode="External"/><Relationship Id="rId19" Type="http://schemas.openxmlformats.org/officeDocument/2006/relationships/hyperlink" Target="https://www.iso.org/standard/6948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大型汽车钣金件搬运中的夹持力、变形与外观保护研究</dc:title>
  <dc:subject>汽车行业助力搬运与非标夹具工程研究</dc:subject>
  <dc:creator>江苏安睿克智能科技有限公司</dc:creator>
  <cp:keywords>汽车钣金,真空吸附,薄板变形,外观保护,FMEA</cp:keywords>
  <dc:description>公开资料研究与工程验证方法；非产品认证或客户验收证明。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