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120" w:after="600"/>
        <w:jc w:val="center"/>
      </w:pPr>
      <w:r>
        <w:drawing>
          <wp:inline xmlns:a="http://schemas.openxmlformats.org/drawingml/2006/main" xmlns:pic="http://schemas.openxmlformats.org/drawingml/2006/picture">
            <wp:extent cx="1691640" cy="59207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urek-logo-ful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5920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80"/>
        <w:jc w:val="center"/>
      </w:pPr>
      <w:r>
        <w:rPr>
          <w:rFonts w:ascii="Calibri" w:hAnsi="Calibri" w:eastAsia="Microsoft YaHei"/>
          <w:b/>
          <w:color w:val="B78727"/>
          <w:sz w:val="20"/>
        </w:rPr>
        <w:t>ENGINEERING RESEARCH REPORT · 工程研究报告</w:t>
      </w:r>
    </w:p>
    <w:p>
      <w:pPr>
        <w:keepLines/>
        <w:spacing w:after="280"/>
        <w:jc w:val="center"/>
      </w:pPr>
      <w:r>
        <w:rPr>
          <w:rFonts w:ascii="Calibri" w:hAnsi="Calibri" w:eastAsia="Microsoft YaHei"/>
          <w:b/>
          <w:color w:val="203748"/>
          <w:sz w:val="50"/>
        </w:rPr>
        <w:t>曲面汽车玻璃真空吸附可靠性与动态翻转研究</w:t>
      </w:r>
    </w:p>
    <w:p>
      <w:pPr>
        <w:spacing w:after="840"/>
        <w:jc w:val="center"/>
      </w:pPr>
      <w:r>
        <w:rPr>
          <w:rFonts w:ascii="Calibri" w:hAnsi="Calibri" w:eastAsia="Microsoft YaHei"/>
          <w:color w:val="5D6670"/>
          <w:sz w:val="23"/>
        </w:rPr>
        <w:t>面向汽车行业助力搬运与非标夹具的公开资料研究、工程推导与验证方法</w:t>
      </w:r>
    </w:p>
    <w:p>
      <w:pPr>
        <w:spacing w:after="60"/>
        <w:jc w:val="center"/>
      </w:pPr>
      <w:r>
        <w:rPr>
          <w:rFonts w:ascii="Calibri" w:hAnsi="Calibri" w:eastAsia="Microsoft YaHei"/>
          <w:b/>
          <w:color w:val="5D6670"/>
          <w:sz w:val="20"/>
        </w:rPr>
        <w:t xml:space="preserve">文件编号  </w:t>
      </w:r>
      <w:r>
        <w:rPr>
          <w:rFonts w:ascii="Calibri" w:hAnsi="Calibri" w:eastAsia="Microsoft YaHei"/>
          <w:color w:val="203748"/>
          <w:sz w:val="20"/>
        </w:rPr>
        <w:t>AUREK-RC-AR-038</w:t>
      </w:r>
    </w:p>
    <w:p>
      <w:pPr>
        <w:spacing w:after="60"/>
        <w:jc w:val="center"/>
      </w:pPr>
      <w:r>
        <w:rPr>
          <w:rFonts w:ascii="Calibri" w:hAnsi="Calibri" w:eastAsia="Microsoft YaHei"/>
          <w:b/>
          <w:color w:val="5D6670"/>
          <w:sz w:val="20"/>
        </w:rPr>
        <w:t xml:space="preserve">版本  </w:t>
      </w:r>
      <w:r>
        <w:rPr>
          <w:rFonts w:ascii="Calibri" w:hAnsi="Calibri" w:eastAsia="Microsoft YaHei"/>
          <w:color w:val="203748"/>
          <w:sz w:val="20"/>
        </w:rPr>
        <w:t>V1.0</w:t>
      </w:r>
    </w:p>
    <w:p>
      <w:pPr>
        <w:spacing w:after="60"/>
        <w:jc w:val="center"/>
      </w:pPr>
      <w:r>
        <w:rPr>
          <w:rFonts w:ascii="Calibri" w:hAnsi="Calibri" w:eastAsia="Microsoft YaHei"/>
          <w:b/>
          <w:color w:val="5D6670"/>
          <w:sz w:val="20"/>
        </w:rPr>
        <w:t xml:space="preserve">发布日期  </w:t>
      </w:r>
      <w:r>
        <w:rPr>
          <w:rFonts w:ascii="Calibri" w:hAnsi="Calibri" w:eastAsia="Microsoft YaHei"/>
          <w:color w:val="203748"/>
          <w:sz w:val="20"/>
        </w:rPr>
        <w:t>2026-07-13</w:t>
      </w:r>
    </w:p>
    <w:p>
      <w:pPr>
        <w:spacing w:after="60"/>
        <w:jc w:val="center"/>
      </w:pPr>
      <w:r>
        <w:rPr>
          <w:rFonts w:ascii="Calibri" w:hAnsi="Calibri" w:eastAsia="Microsoft YaHei"/>
          <w:b/>
          <w:color w:val="5D6670"/>
          <w:sz w:val="20"/>
        </w:rPr>
        <w:t xml:space="preserve">发布单位  </w:t>
      </w:r>
      <w:r>
        <w:rPr>
          <w:rFonts w:ascii="Calibri" w:hAnsi="Calibri" w:eastAsia="Microsoft YaHei"/>
          <w:color w:val="203748"/>
          <w:sz w:val="20"/>
        </w:rPr>
        <w:t>江苏安睿克智能科技有限公司</w:t>
      </w:r>
    </w:p>
    <w:p>
      <w:pPr>
        <w:spacing w:before="720" w:after="0"/>
        <w:jc w:val="center"/>
      </w:pPr>
      <w:r>
        <w:rPr>
          <w:rFonts w:ascii="Calibri" w:hAnsi="Calibri" w:eastAsia="Microsoft YaHei"/>
          <w:b/>
          <w:color w:val="8A5C16"/>
          <w:sz w:val="18"/>
        </w:rPr>
        <w:t>研究与验证方法文件 · 非产品认证 / 非客户验收证明</w:t>
      </w:r>
    </w:p>
    <w:p>
      <w:r>
        <w:br w:type="page"/>
      </w:r>
    </w:p>
    <w:p>
      <w:pPr>
        <w:pStyle w:val="Heading1"/>
        <w:spacing w:before="0"/>
      </w:pPr>
      <w:r>
        <w:t>报告结构</w:t>
      </w:r>
    </w:p>
    <w:p>
      <w:pPr>
        <w:pStyle w:val="AurekContents"/>
        <w:ind w:left="259"/>
      </w:pPr>
      <w:r>
        <w:rPr>
          <w:rFonts w:ascii="Calibri" w:hAnsi="Calibri" w:eastAsia="Microsoft YaHei"/>
          <w:b/>
          <w:color w:val="203748"/>
          <w:sz w:val="21"/>
        </w:rPr>
        <w:t>00 执行摘要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01 研究对象与适用边界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02 曲面密封与吸附承载模型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03 吸盘布局与真空架构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04 动态翻转与操作者控制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05 玻璃表面、边缘与附件保护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06 验证矩阵与故障注入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07 FMEA 与控制状态机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08 实施资料与结论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参考文献</w:t>
      </w:r>
    </w:p>
    <w:p>
      <w:pPr>
        <w:pStyle w:val="AurekCallout"/>
        <w:spacing w:before="120" w:after="160"/>
        <w:ind w:left="259" w:right="173"/>
        <w:shd w:fill="F4F6F9"/>
        <w:pBdr>
          <w:left w:val="single" w:sz="18" w:space="8" w:color="B78727"/>
        </w:pBdr>
      </w:pPr>
      <w:r>
        <w:rPr>
          <w:rFonts w:ascii="Calibri" w:hAnsi="Calibri" w:eastAsia="Microsoft YaHei"/>
          <w:b/>
          <w:color w:val="203748"/>
          <w:sz w:val="20"/>
        </w:rPr>
        <w:t xml:space="preserve">研究边界  </w:t>
      </w:r>
      <w:r>
        <w:rPr>
          <w:rFonts w:ascii="Calibri" w:hAnsi="Calibri" w:eastAsia="Microsoft YaHei"/>
          <w:sz w:val="20"/>
        </w:rPr>
        <w:t>正文中的标准、论文与供应商资料用于支持方法框架；示例计算均带有假设。项目应用必须补充真实工件、夹具、动作曲线、风险评估与原始测试证据。</w:t>
      </w:r>
    </w:p>
    <w:p>
      <w:r>
        <w:br w:type="page"/>
      </w:r>
    </w:p>
    <w:p>
      <w:pPr>
        <w:pStyle w:val="AurekCallout"/>
        <w:spacing w:before="120" w:after="160"/>
        <w:ind w:left="259" w:right="173"/>
        <w:shd w:fill="F4F6F9"/>
        <w:pBdr>
          <w:left w:val="single" w:sz="18" w:space="8" w:color="B78727"/>
        </w:pBdr>
      </w:pPr>
      <w:r>
        <w:rPr>
          <w:rFonts w:ascii="Calibri" w:hAnsi="Calibri" w:eastAsia="Microsoft YaHei"/>
          <w:b/>
          <w:color w:val="203748"/>
          <w:sz w:val="20"/>
        </w:rPr>
        <w:t xml:space="preserve">研究边界  </w:t>
      </w:r>
      <w:r>
        <w:rPr>
          <w:rFonts w:ascii="Calibri" w:hAnsi="Calibri" w:eastAsia="Microsoft YaHei"/>
          <w:sz w:val="20"/>
        </w:rPr>
        <w:t>文档属性：公开资料研究与工程验证方法。本文不宣称任何具体夹具、玻璃型号或生产线已经通过试验；示例参数与判据需由真实样件和项目风险评估重新确认。</w:t>
      </w:r>
    </w:p>
    <w:p>
      <w:pPr>
        <w:pStyle w:val="Heading1"/>
      </w:pPr>
      <w:r>
        <w:rPr>
          <w:rFonts w:ascii="Calibri" w:hAnsi="Calibri" w:eastAsia="Microsoft YaHei"/>
        </w:rPr>
        <w:t>00 执行摘要</w:t>
      </w:r>
    </w:p>
    <w:p>
      <w:pPr/>
      <w:r>
        <w:rPr>
          <w:rFonts w:ascii="Calibri" w:hAnsi="Calibri" w:eastAsia="Microsoft YaHei"/>
          <w:sz w:val="22"/>
        </w:rPr>
        <w:t>挡风玻璃、后窗、侧窗和全景天幕具有气密表面，通常适合真空搬运，但其曲率、层合结构、丝印/镀膜、边缘脆弱性和动态翻转使可靠性问题显著不同于平板玻璃。吸盘能否形成稳定密封，不仅取决于压差和面积，还取决于吸盘与局部曲面的接触几何、预压、弯曲和密封唇载荷分布。IEEE 的吸盘建模研究把轴向压缩与弯曲力分开，并通过曲面试验验证了承载预测思路[1]；工业资料则强调柔性密封唇、波纹补偿、限定支撑面和低印痕材料在汽车玻璃中的作用[2][3]。</w:t>
      </w:r>
    </w:p>
    <w:p>
      <w:pPr/>
      <w:r>
        <w:rPr>
          <w:rFonts w:ascii="Calibri" w:hAnsi="Calibri" w:eastAsia="Microsoft YaHei"/>
          <w:sz w:val="22"/>
        </w:rPr>
        <w:t>动态翻转会让负载在法向、切向和力矩之间持续转换。一个在初始竖直姿态真空稳定的夹具，可能在 45° 中间姿态因组合重心偏心产生最大翻转力矩，也可能在水平姿态因玻璃挠曲和吸点载荷重分配而失效。因此，工程设计必须把“密封形成—保持—全角度翻转—定位—受托释放—异常落位”视作一个连续状态机。</w:t>
      </w:r>
    </w:p>
    <w:p>
      <w:pPr/>
      <w:r>
        <w:rPr>
          <w:rFonts w:ascii="Calibri" w:hAnsi="Calibri" w:eastAsia="Microsoft YaHei"/>
          <w:b/>
          <w:color w:val="203748"/>
          <w:sz w:val="22"/>
        </w:rPr>
        <w:t>核心结论</w:t>
      </w:r>
    </w:p>
    <w:p>
      <w:pPr>
        <w:pStyle w:val="AurekList"/>
        <w:numPr>
          <w:ilvl w:val="0"/>
          <w:numId w:val="10"/>
        </w:numPr>
      </w:pPr>
      <w:r>
        <w:rPr>
          <w:rFonts w:ascii="Calibri" w:hAnsi="Calibri" w:eastAsia="Microsoft YaHei"/>
          <w:sz w:val="21"/>
        </w:rPr>
        <w:t>吸盘数量与总面积只是起点；局部曲率匹配、密封唇预压和吸盘中心轴对准局部法向是可靠吸附的先决条件。</w:t>
      </w:r>
    </w:p>
    <w:p>
      <w:pPr>
        <w:pStyle w:val="AurekList"/>
        <w:numPr>
          <w:ilvl w:val="0"/>
          <w:numId w:val="10"/>
        </w:numPr>
      </w:pPr>
      <w:r>
        <w:rPr>
          <w:rFonts w:ascii="Calibri" w:hAnsi="Calibri" w:eastAsia="Microsoft YaHei"/>
          <w:sz w:val="21"/>
        </w:rPr>
        <w:t>动态翻转应按姿态角计算重力分量、偏心力矩、惯性力矩和制动需求，验证中要连续采集真空、角度、加速度与相对滑移。</w:t>
      </w:r>
    </w:p>
    <w:p>
      <w:pPr>
        <w:pStyle w:val="AurekList"/>
        <w:numPr>
          <w:ilvl w:val="0"/>
          <w:numId w:val="10"/>
        </w:numPr>
      </w:pPr>
      <w:r>
        <w:rPr>
          <w:rFonts w:ascii="Calibri" w:hAnsi="Calibri" w:eastAsia="Microsoft YaHei"/>
          <w:sz w:val="21"/>
        </w:rPr>
        <w:t>真空系统应采用合理分区、止回/储能、低真空动作抑制和受托释放；保压时间必须来自泄漏曲线而非经验常数。</w:t>
      </w:r>
    </w:p>
    <w:p>
      <w:pPr>
        <w:pStyle w:val="AurekList"/>
        <w:numPr>
          <w:ilvl w:val="0"/>
          <w:numId w:val="10"/>
        </w:numPr>
      </w:pPr>
      <w:r>
        <w:rPr>
          <w:rFonts w:ascii="Calibri" w:hAnsi="Calibri" w:eastAsia="Microsoft YaHei"/>
          <w:sz w:val="21"/>
        </w:rPr>
        <w:t>玻璃保护需同时控制边缘撞击、金属接近、吸盘印痕、化学指纹和清洁颗粒。</w:t>
      </w:r>
    </w:p>
    <w:p>
      <w:pPr>
        <w:pStyle w:val="AurekList"/>
        <w:numPr>
          <w:ilvl w:val="0"/>
          <w:numId w:val="10"/>
        </w:numPr>
      </w:pPr>
      <w:r>
        <w:rPr>
          <w:rFonts w:ascii="Calibri" w:hAnsi="Calibri" w:eastAsia="Microsoft YaHei"/>
          <w:sz w:val="21"/>
        </w:rPr>
        <w:t>可靠性放行应覆盖曲率极限、表面状态、温度、保护膜、附件、来料偏差和吸盘磨损等组合。</w:t>
      </w:r>
    </w:p>
    <w:p>
      <w:pPr>
        <w:pStyle w:val="Heading1"/>
      </w:pPr>
      <w:r>
        <w:rPr>
          <w:rFonts w:ascii="Calibri" w:hAnsi="Calibri" w:eastAsia="Microsoft YaHei"/>
        </w:rPr>
        <w:t>01 研究对象与适用边界</w:t>
      </w:r>
    </w:p>
    <w:p>
      <w:pPr/>
      <w:r>
        <w:rPr>
          <w:rFonts w:ascii="Calibri" w:hAnsi="Calibri" w:eastAsia="Microsoft YaHei"/>
          <w:sz w:val="22"/>
        </w:rPr>
        <w:t>研究对象为汽车安全玻璃及其装配前总成，包括夹层挡风玻璃、钢化侧窗/后窗、带丝印、镀膜、加热丝、包边、定位销、线束或摄像头支架的玻璃。GB 9656-2021 给出了机动车玻璃的安全技术规范[4]，ISO 3537:2015 则规定安全玻璃材料的机械试验方法[5]。这些产品标准并不直接给出搬运夹具参数，但提醒设计者：玻璃是经安全性能定义的产品，夹具不应引入未经评估的划伤、崩边、局部损伤或涂层影响。</w:t>
      </w:r>
    </w:p>
    <w:p>
      <w:pPr/>
      <w:r>
        <w:rPr>
          <w:rFonts w:ascii="Calibri" w:hAnsi="Calibri" w:eastAsia="Microsoft YaHei"/>
          <w:sz w:val="22"/>
        </w:rPr>
        <w:t>本文覆盖人工助力机械臂、机器人末端和专用翻转机构上的真空夹具，不覆盖玻璃制造炉内成形、整车碰撞性能或胶粘剂固化工艺。凡涉及客户外观、光学或涂层规范，应以客户最新技术条件为准。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800"/>
        <w:gridCol w:w="3480"/>
        <w:gridCol w:w="4080"/>
      </w:tblGrid>
      <w:tr>
        <w:trPr>
          <w:cantSplit w:val="true"/>
          <w:tblHeader w:val="true"/>
        </w:trPr>
        <w:tc>
          <w:tcPr>
            <w:tcW w:type="dxa" w:w="18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数据类别</w:t>
            </w:r>
          </w:p>
        </w:tc>
        <w:tc>
          <w:tcPr>
            <w:tcW w:type="dxa" w:w="348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必要输入</w:t>
            </w:r>
          </w:p>
        </w:tc>
        <w:tc>
          <w:tcPr>
            <w:tcW w:type="dxa" w:w="408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对夹具设计的影响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玻璃几何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三维曲面、厚度、尺寸、局部曲率、边缘轮廓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吸盘类型、局部法向、布局与包络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质量属性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玻璃质量、附件质量、组合重心、惯量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提升能力、翻转轴与制动力矩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表面系统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丝印、镀膜、保护膜、油墨、清洁剂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允许吸附区、材料相容性与印痕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装配附件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包边、销、线束、支架、胶路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禁限区、夹具避让和释放路径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来料状态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料架角度、片间距、粘片、摆放偏差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接近顺序、吸附确认与分片动作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Calibri" w:hAnsi="Calibri" w:eastAsia="Microsoft YaHei"/>
        </w:rPr>
        <w:t>02 曲面密封与吸附承载模型</w:t>
      </w:r>
    </w:p>
    <w:p>
      <w:pPr>
        <w:pStyle w:val="Heading2"/>
      </w:pPr>
      <w:r>
        <w:rPr>
          <w:rFonts w:ascii="Calibri" w:hAnsi="Calibri" w:eastAsia="Microsoft YaHei"/>
        </w:rPr>
        <w:t>02.1 密封形成条件</w:t>
      </w:r>
    </w:p>
    <w:p>
      <w:pPr/>
      <w:r>
        <w:rPr>
          <w:rFonts w:ascii="Calibri" w:hAnsi="Calibri" w:eastAsia="Microsoft YaHei"/>
          <w:sz w:val="22"/>
        </w:rPr>
        <w:t>曲面吸附的首个问题不是“能承受多少重量”，而是密封唇能否在有限预压下连续接触。吸盘中心轴与局部法向偏差过大，会使一侧密封唇过压、另一侧翘起；波纹和柔性连接可以补偿角度与高度差，但也会增加姿态柔顺和切向位移。吸盘模型研究表明，接触几何、轴向压缩与弯曲变形共同决定密封与承载[1]。</w:t>
      </w:r>
    </w:p>
    <w:p>
      <w:pPr/>
      <w:r>
        <w:rPr>
          <w:rFonts w:ascii="Calibri" w:hAnsi="Calibri" w:eastAsia="Microsoft YaHei"/>
          <w:sz w:val="22"/>
        </w:rPr>
        <w:t>工程上可用以下约束筛选吸点：</w:t>
      </w:r>
    </w:p>
    <w:p>
      <w:pPr>
        <w:pStyle w:val="AurekList"/>
        <w:numPr>
          <w:ilvl w:val="0"/>
          <w:numId w:val="11"/>
        </w:numPr>
      </w:pPr>
      <w:r>
        <w:rPr>
          <w:rFonts w:ascii="Calibri" w:hAnsi="Calibri" w:eastAsia="Microsoft YaHei"/>
          <w:sz w:val="21"/>
        </w:rPr>
        <w:t>吸盘有效密封直径范围内，玻璃曲率与吸盘允许曲率相容。</w:t>
      </w:r>
    </w:p>
    <w:p>
      <w:pPr>
        <w:pStyle w:val="AurekList"/>
        <w:numPr>
          <w:ilvl w:val="0"/>
          <w:numId w:val="11"/>
        </w:numPr>
      </w:pPr>
      <w:r>
        <w:rPr>
          <w:rFonts w:ascii="Calibri" w:hAnsi="Calibri" w:eastAsia="Microsoft YaHei"/>
          <w:sz w:val="21"/>
        </w:rPr>
        <w:t>吸盘预压位移位于供应商建议窗口内，不以机械臂强压来补偿错误姿态。</w:t>
      </w:r>
    </w:p>
    <w:p>
      <w:pPr>
        <w:pStyle w:val="AurekList"/>
        <w:numPr>
          <w:ilvl w:val="0"/>
          <w:numId w:val="11"/>
        </w:numPr>
      </w:pPr>
      <w:r>
        <w:rPr>
          <w:rFonts w:ascii="Calibri" w:hAnsi="Calibri" w:eastAsia="Microsoft YaHei"/>
          <w:sz w:val="21"/>
        </w:rPr>
        <w:t>密封唇完整避开丝印台阶、保护膜褶皱、孔洞和附件边界。</w:t>
      </w:r>
    </w:p>
    <w:p>
      <w:pPr>
        <w:pStyle w:val="AurekList"/>
        <w:numPr>
          <w:ilvl w:val="0"/>
          <w:numId w:val="11"/>
        </w:numPr>
      </w:pPr>
      <w:r>
        <w:rPr>
          <w:rFonts w:ascii="Calibri" w:hAnsi="Calibri" w:eastAsia="Microsoft YaHei"/>
          <w:sz w:val="21"/>
        </w:rPr>
        <w:t>柔性支座行程能够吸收来料偏差，但到位后不会失去足够的抗摆稳定性。</w:t>
      </w:r>
    </w:p>
    <w:p>
      <w:pPr>
        <w:pStyle w:val="Heading2"/>
      </w:pPr>
      <w:r>
        <w:rPr>
          <w:rFonts w:ascii="Calibri" w:hAnsi="Calibri" w:eastAsia="Microsoft YaHei"/>
        </w:rPr>
        <w:t>02.2 法向、切向与组合载荷</w:t>
      </w:r>
    </w:p>
    <w:p>
      <w:pPr>
        <w:pStyle w:val="AurekEquation"/>
        <w:spacing w:before="80" w:after="160"/>
        <w:jc w:val="center"/>
        <w:shd w:fill="EEF3F7"/>
      </w:pPr>
      <w:r>
        <w:rPr>
          <w:rFonts w:ascii="Consolas" w:hAnsi="Consolas" w:eastAsia="Microsoft YaHei"/>
          <w:color w:val="203748"/>
          <w:sz w:val="19"/>
        </w:rPr>
        <w:t>F_N,usable = (Δp_min · ΣA_eff · η_curve · η_surface) / S_N</w:t>
      </w:r>
    </w:p>
    <w:p>
      <w:pPr/>
      <w:r>
        <w:rPr>
          <w:rFonts w:ascii="Calibri" w:hAnsi="Calibri" w:eastAsia="Microsoft YaHei"/>
          <w:sz w:val="22"/>
        </w:rPr>
        <w:t>其中 η_curve 表示曲率与姿态折减，η_surface 表示表面、污染、温度和磨损折减。竖直玻璃的重力主要形成切向需求；在翻转过程中，法向和切向分量随角度变化。若 θ 定义为玻璃法向与竖直方向夹角，可按具体坐标系分解重力与惯性，并对每个离散姿态计算吸盘负载分配，而不是只在 0° 和 90° 端点校核。</w:t>
      </w:r>
    </w:p>
    <w:p>
      <w:pPr>
        <w:pStyle w:val="AurekEquation"/>
        <w:spacing w:before="80" w:after="160"/>
        <w:jc w:val="center"/>
        <w:shd w:fill="EEF3F7"/>
      </w:pPr>
      <w:r>
        <w:rPr>
          <w:rFonts w:ascii="Consolas" w:hAnsi="Consolas" w:eastAsia="Microsoft YaHei"/>
          <w:color w:val="203748"/>
          <w:sz w:val="19"/>
        </w:rPr>
        <w:t>F_T,demand(θ) = m · |g_T(θ) + a_T(θ)| + F_route(θ)</w:t>
        <w:br/>
        <w:t>M_demand(θ) = mge · sin(θ) + Iα + cω + M_disturbance</w:t>
      </w:r>
    </w:p>
    <w:p>
      <w:pPr/>
      <w:r>
        <w:rPr>
          <w:rFonts w:ascii="Calibri" w:hAnsi="Calibri" w:eastAsia="Microsoft YaHei"/>
          <w:sz w:val="22"/>
        </w:rPr>
        <w:t>式中 e 为玻璃—夹具组合重心到翻转轴的偏心距，I 为转动惯量，α 和 ω 为角加速度与角速度，cω 表示等效阻尼项。最大力矩未必出现在端点，必须用完整动作曲线检查。</w:t>
      </w:r>
    </w:p>
    <w:p>
      <w:pPr>
        <w:pStyle w:val="Heading1"/>
      </w:pPr>
      <w:r>
        <w:rPr>
          <w:rFonts w:ascii="Calibri" w:hAnsi="Calibri" w:eastAsia="Microsoft YaHei"/>
        </w:rPr>
        <w:t>03 吸盘布局与真空架构</w:t>
      </w:r>
    </w:p>
    <w:p>
      <w:pPr/>
      <w:r>
        <w:rPr>
          <w:rFonts w:ascii="Calibri" w:hAnsi="Calibri" w:eastAsia="Microsoft YaHei"/>
          <w:sz w:val="22"/>
        </w:rPr>
        <w:t>吸盘应围绕组合重心形成稳定支承多边形，同时避开边缘、黑边丝印台阶、加热丝连接区、摄像头/传感器支架、包边与胶路。大尺寸玻璃还需控制吸盘间距，使玻璃局部挠曲和中部下垂处于产品允许范围。布局应兼顾装车视线：夹具结构不能遮挡关键定位点，也不能在接近车身时进入 A 柱、顶棚或仪表板碰撞区。</w:t>
      </w:r>
    </w:p>
    <w:p>
      <w:pPr>
        <w:pStyle w:val="Heading2"/>
      </w:pPr>
      <w:r>
        <w:rPr>
          <w:rFonts w:ascii="Calibri" w:hAnsi="Calibri" w:eastAsia="Microsoft YaHei"/>
        </w:rPr>
        <w:t>03.1 真空分区</w:t>
      </w:r>
    </w:p>
    <w:p>
      <w:pPr/>
      <w:r>
        <w:rPr>
          <w:rFonts w:ascii="Calibri" w:hAnsi="Calibri" w:eastAsia="Microsoft YaHei"/>
          <w:sz w:val="22"/>
        </w:rPr>
        <w:t>合理分区的目标是限制单点泄漏传播并提高可诊断性，而不是简单把每个吸盘都独立。每个分区应拥有足够的剩余能力、适当的止回元件和可测的压力点；传感器位置要能代表吸盘侧状态，而非只测真空源出口。分区过多会增加阀件、管路和泄漏点，必须通过可靠性与维护性权衡。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800"/>
        <w:gridCol w:w="3480"/>
        <w:gridCol w:w="4080"/>
      </w:tblGrid>
      <w:tr>
        <w:trPr>
          <w:cantSplit w:val="true"/>
          <w:tblHeader w:val="true"/>
        </w:trPr>
        <w:tc>
          <w:tcPr>
            <w:tcW w:type="dxa" w:w="18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层级</w:t>
            </w:r>
          </w:p>
        </w:tc>
        <w:tc>
          <w:tcPr>
            <w:tcW w:type="dxa" w:w="348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设计要点</w:t>
            </w:r>
          </w:p>
        </w:tc>
        <w:tc>
          <w:tcPr>
            <w:tcW w:type="dxa" w:w="408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失效时目标状态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真空产生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能覆盖建立时间与已知泄漏，具备运行监测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源能力不足时禁止新提升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分区与止回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单区故障不立即拖垮全部吸盘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保持、停止危险动作、报警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储能/容积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为受控落位提供时间，不替代机械安全措施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压力衰减可预测、可诊断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阈值监测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建立阈值、运行阈值和警戒阈值分开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越阈值时限制翻转/释放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释放回路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仅在玻璃受托和姿态允许时通气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任一条件不满足时拒绝释放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Calibri" w:hAnsi="Calibri" w:eastAsia="Microsoft YaHei"/>
        </w:rPr>
        <w:t>03.2 保压与泄漏曲线</w:t>
      </w:r>
    </w:p>
    <w:p>
      <w:pPr/>
      <w:r>
        <w:rPr>
          <w:rFonts w:ascii="Calibri" w:hAnsi="Calibri" w:eastAsia="Microsoft YaHei"/>
          <w:sz w:val="22"/>
        </w:rPr>
        <w:t>理想气体公式不足以描述密封唇随载荷变化的真实泄漏。建议用真实玻璃测得 Δp(t) 曲线，并在最不利表面、温度、吸盘磨损和姿态下确定从运行阈值下降到最低保持阈值的时间窗。若局部区间近似指数衰减，可用下式拟合时间常数 τ，但判定仍应基于实测曲线包络。</w:t>
      </w:r>
    </w:p>
    <w:p>
      <w:pPr>
        <w:pStyle w:val="AurekEquation"/>
        <w:spacing w:before="80" w:after="160"/>
        <w:jc w:val="center"/>
        <w:shd w:fill="EEF3F7"/>
      </w:pPr>
      <w:r>
        <w:rPr>
          <w:rFonts w:ascii="Consolas" w:hAnsi="Consolas" w:eastAsia="Microsoft YaHei"/>
          <w:color w:val="203748"/>
          <w:sz w:val="19"/>
        </w:rPr>
        <w:t>Δp(t) ≈ Δp₀ · exp(-t/τ)</w:t>
      </w:r>
    </w:p>
    <w:p>
      <w:pPr>
        <w:pStyle w:val="Heading1"/>
      </w:pPr>
      <w:r>
        <w:rPr>
          <w:rFonts w:ascii="Calibri" w:hAnsi="Calibri" w:eastAsia="Microsoft YaHei"/>
        </w:rPr>
        <w:t>04 动态翻转与操作者控制</w:t>
      </w:r>
    </w:p>
    <w:p>
      <w:pPr/>
      <w:r>
        <w:rPr>
          <w:rFonts w:ascii="Calibri" w:hAnsi="Calibri" w:eastAsia="Microsoft YaHei"/>
          <w:sz w:val="22"/>
        </w:rPr>
        <w:t>翻转轴应尽量接近组合重心，以降低操作者力和制动负担。完全重心平衡并非总是最优：需要保留可控的方向感，同时避免玻璃自行翻转。旋转机构应有可验证的制动/锁止能力和受控释放，软管和线缆必须在全角度范围内无拉扯、折弯和勾挂。</w:t>
      </w:r>
    </w:p>
    <w:p>
      <w:pPr>
        <w:pStyle w:val="Heading2"/>
      </w:pPr>
      <w:r>
        <w:rPr>
          <w:rFonts w:ascii="Calibri" w:hAnsi="Calibri" w:eastAsia="Microsoft YaHei"/>
        </w:rPr>
        <w:t>04.1 示例力矩（仅说明方法）</w:t>
      </w:r>
    </w:p>
    <w:p>
      <w:pPr/>
      <w:r>
        <w:rPr>
          <w:rFonts w:ascii="Calibri" w:hAnsi="Calibri" w:eastAsia="Microsoft YaHei"/>
          <w:sz w:val="22"/>
        </w:rPr>
        <w:t>假设玻璃与夹具组合质量 40 kg，组合重心到翻转轴偏心距 0.08 m，则重力偏心力矩峰值约 31.4 N·m。若最大惯性力矩估算为 8 N·m，另计摩擦离散和外部扰动，则制动、锁止和操作者允许力应在风险评估基础上采用附加裕量设计。这里的 40 kg、0.08 m 和 8 N·m 均为示例假设，不代表任何产品额定值。</w:t>
      </w:r>
    </w:p>
    <w:p>
      <w:pPr/>
      <w:r>
        <w:rPr>
          <w:rFonts w:ascii="Calibri" w:hAnsi="Calibri" w:eastAsia="Microsoft YaHei"/>
          <w:sz w:val="22"/>
        </w:rPr>
        <w:t>动态试验应设置慢速探索轨迹和生产轨迹两层。先以低能量确认密封、包络和管线，再逐步增加速度与加速度；每次变更只改变一个主变量，并保留数据版本。直接以生产速度试错会放大玻璃损伤和坠落风险。</w:t>
      </w:r>
    </w:p>
    <w:p>
      <w:pPr>
        <w:pStyle w:val="Heading1"/>
      </w:pPr>
      <w:r>
        <w:rPr>
          <w:rFonts w:ascii="Calibri" w:hAnsi="Calibri" w:eastAsia="Microsoft YaHei"/>
        </w:rPr>
        <w:t>05 玻璃表面、边缘与附件保护</w:t>
      </w:r>
    </w:p>
    <w:p>
      <w:pPr/>
      <w:r>
        <w:rPr>
          <w:rFonts w:ascii="Calibri" w:hAnsi="Calibri" w:eastAsia="Microsoft YaHei"/>
          <w:sz w:val="22"/>
        </w:rPr>
        <w:t>Schmalz 的汽车玻璃资料指出，吸盘印痕与结构、材料以及密封唇在玻璃表面的相对运动有关，污染颗粒会放大痕迹风险[2]。因此，“低印痕材料”不是免检条件。每种玻璃、表面、清洁剂、接触时间与温度组合都应完成样件确认。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500"/>
        <w:gridCol w:w="2160"/>
        <w:gridCol w:w="2700"/>
        <w:gridCol w:w="3000"/>
      </w:tblGrid>
      <w:tr>
        <w:trPr>
          <w:cantSplit w:val="true"/>
          <w:tblHeader w:val="true"/>
        </w:trPr>
        <w:tc>
          <w:tcPr>
            <w:tcW w:type="dxa" w:w="15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风险</w:t>
            </w:r>
          </w:p>
        </w:tc>
        <w:tc>
          <w:tcPr>
            <w:tcW w:type="dxa" w:w="216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机制</w:t>
            </w:r>
          </w:p>
        </w:tc>
        <w:tc>
          <w:tcPr>
            <w:tcW w:type="dxa" w:w="27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控制措施</w:t>
            </w:r>
          </w:p>
        </w:tc>
        <w:tc>
          <w:tcPr>
            <w:tcW w:type="dxa" w:w="30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检查方式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吸盘印痕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材料迁移、滑移、局部面压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指定材料、限制滑移与接触时间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规定照明/角度下检查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划伤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砂粒、金属接近、脏手套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清洁分级、软质隔离、封闭存放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表面放大检查与缺陷图谱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崩边/微裂纹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边缘撞击、料架挂边、夹具干涉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边缘安全间隙、导向和低速离架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目视、专用检测或客户规则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附件受力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线束/支架被夹具挂住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三维禁限区、路径检查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全姿态包络验证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涂层/丝印影响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化学不相容或台阶密封不稳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允许吸附区、材料相容性试验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工艺批准与外观/功能复测</w:t>
            </w:r>
          </w:p>
        </w:tc>
      </w:tr>
    </w:tbl>
    <w:p>
      <w:pPr>
        <w:spacing w:after="40"/>
      </w:pPr>
    </w:p>
    <w:p>
      <w:pPr/>
      <w:r>
        <w:rPr>
          <w:rFonts w:ascii="Calibri" w:hAnsi="Calibri" w:eastAsia="Microsoft YaHei"/>
          <w:sz w:val="22"/>
        </w:rPr>
        <w:t>玻璃从料架分片时还存在粘片和突然分离风险。夹具需要确认单片离架，必要时采用受控小行程、片间传感或辅助分片措施。不得依靠快速拉离来克服粘片。</w:t>
      </w:r>
    </w:p>
    <w:p>
      <w:pPr>
        <w:pStyle w:val="Heading1"/>
      </w:pPr>
      <w:r>
        <w:rPr>
          <w:rFonts w:ascii="Calibri" w:hAnsi="Calibri" w:eastAsia="Microsoft YaHei"/>
        </w:rPr>
        <w:t>06 验证矩阵与故障注入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500"/>
        <w:gridCol w:w="2160"/>
        <w:gridCol w:w="2700"/>
        <w:gridCol w:w="3000"/>
      </w:tblGrid>
      <w:tr>
        <w:trPr>
          <w:cantSplit w:val="true"/>
          <w:tblHeader w:val="true"/>
        </w:trPr>
        <w:tc>
          <w:tcPr>
            <w:tcW w:type="dxa" w:w="15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验证场景</w:t>
            </w:r>
          </w:p>
        </w:tc>
        <w:tc>
          <w:tcPr>
            <w:tcW w:type="dxa" w:w="216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变量组合</w:t>
            </w:r>
          </w:p>
        </w:tc>
        <w:tc>
          <w:tcPr>
            <w:tcW w:type="dxa" w:w="27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记录信号</w:t>
            </w:r>
          </w:p>
        </w:tc>
        <w:tc>
          <w:tcPr>
            <w:tcW w:type="dxa" w:w="30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主要判据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曲率极限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最小/最大曲率、来料偏差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各区真空、预压位移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全部关键区稳定建立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表面边界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清洁、规定污染、保护膜、温度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建立时间、衰减、印痕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不越阈值且表面可接受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全角翻转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0° 至目标角连续轨迹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角度、速度、加速度、真空、滑移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无剥离、滑移或失控转动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急停/制动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最不利角度与速度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停止时间、峰值加速度、力矩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不坠落、不碰撞、可恢复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单区泄漏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受控开漏或封堵单吸盘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分区压力、控制状态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停止危险动作并保留落位时间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误释放命令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玻璃悬空/未受托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释放阀与状态反馈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命令被拒绝并报警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耐久后复测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代表性循环和清洁周期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泄漏趋势、材料磨损、印痕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维护阈值可检测、性能可保持</w:t>
            </w:r>
          </w:p>
        </w:tc>
      </w:tr>
    </w:tbl>
    <w:p>
      <w:pPr>
        <w:spacing w:after="40"/>
      </w:pPr>
    </w:p>
    <w:p>
      <w:pPr/>
      <w:r>
        <w:rPr>
          <w:rFonts w:ascii="Calibri" w:hAnsi="Calibri" w:eastAsia="Microsoft YaHei"/>
          <w:sz w:val="22"/>
        </w:rPr>
        <w:t>故障注入应从低能量、替代载荷和模拟信号开始，最后才在风险受控条件下使用真实玻璃。每项测试要定义注入位置、注入时间、系统预期状态、允许响应窗口、恢复条件和证据文件。故障注入的目的不是“证明永不失败”，而是确认单一故障或可预见组合故障不会直接导致危险释放。</w:t>
      </w:r>
    </w:p>
    <w:p>
      <w:pPr>
        <w:pStyle w:val="Heading1"/>
      </w:pPr>
      <w:r>
        <w:rPr>
          <w:rFonts w:ascii="Calibri" w:hAnsi="Calibri" w:eastAsia="Microsoft YaHei"/>
        </w:rPr>
        <w:t>07 FMEA 与控制状态机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500"/>
        <w:gridCol w:w="2160"/>
        <w:gridCol w:w="2700"/>
        <w:gridCol w:w="3000"/>
      </w:tblGrid>
      <w:tr>
        <w:trPr>
          <w:cantSplit w:val="true"/>
          <w:tblHeader w:val="true"/>
        </w:trPr>
        <w:tc>
          <w:tcPr>
            <w:tcW w:type="dxa" w:w="15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失效模式</w:t>
            </w:r>
          </w:p>
        </w:tc>
        <w:tc>
          <w:tcPr>
            <w:tcW w:type="dxa" w:w="216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后果</w:t>
            </w:r>
          </w:p>
        </w:tc>
        <w:tc>
          <w:tcPr>
            <w:tcW w:type="dxa" w:w="27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检测/控制</w:t>
            </w:r>
          </w:p>
        </w:tc>
        <w:tc>
          <w:tcPr>
            <w:tcW w:type="dxa" w:w="30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安全恢复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吸盘未完全贴合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慢泄漏或起吊后剥离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分区建立时间与压力趋势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禁止离架，重新吸附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单区管路破裂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真空快速下降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止回、分区传感、阈值联锁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停止翻转，受控落位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角度传感异常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错误制动/释放许可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合理性校验、机械限位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锁止并人工诊断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制动器未锁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自行翻转、碰撞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锁止反馈、力矩/位置异常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限制运动，安全支撑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玻璃型号错误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吸点进入禁区或路径干涉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车型—夹具—配方一致性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禁止吸附/提升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释放阀粘连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意外进气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阀状态诊断、双条件释放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几何托承/分区保持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吸盘污染磨损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印痕、泄漏、划伤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清洁点检、寿命与趋势监控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更换后首件确认</w:t>
            </w:r>
          </w:p>
        </w:tc>
      </w:tr>
    </w:tbl>
    <w:p>
      <w:pPr>
        <w:spacing w:after="40"/>
      </w:pPr>
    </w:p>
    <w:p>
      <w:pPr/>
      <w:r>
        <w:rPr>
          <w:rFonts w:ascii="Calibri" w:hAnsi="Calibri" w:eastAsia="Microsoft YaHei"/>
          <w:sz w:val="22"/>
        </w:rPr>
        <w:t>推荐状态机包含：空载安全、接近、预压、真空建立、吸附确认、离架、运输、翻转、定位、受托确认、释放允许、释放完成和异常保持。任何传感矛盾、通信中断或阈值越界均进入“保持载荷、停止危险动作、禁止释放”的保守状态。恢复必须先消除故障并确认玻璃处于受托位置。</w:t>
      </w:r>
    </w:p>
    <w:p>
      <w:pPr>
        <w:pStyle w:val="Heading1"/>
      </w:pPr>
      <w:r>
        <w:rPr>
          <w:rFonts w:ascii="Calibri" w:hAnsi="Calibri" w:eastAsia="Microsoft YaHei"/>
        </w:rPr>
        <w:t>08 实施资料与结论</w:t>
      </w:r>
    </w:p>
    <w:p>
      <w:pPr/>
      <w:r>
        <w:rPr>
          <w:rFonts w:ascii="Calibri" w:hAnsi="Calibri" w:eastAsia="Microsoft YaHei"/>
          <w:sz w:val="22"/>
        </w:rPr>
        <w:t>工程交付至少包括玻璃族参数矩阵、允许吸附区、局部法向与吸盘安装图、真空分区与阈值、翻转轴和力矩计算、轨迹包络、故障状态表、真实样件原始数据、表面检查规则、维护周期和异常落位说明。对多车型共线工位，还应把玻璃型号、夹具模块和控制配方做一致性联锁。</w:t>
      </w:r>
    </w:p>
    <w:p>
      <w:pPr/>
      <w:r>
        <w:rPr>
          <w:rFonts w:ascii="Calibri" w:hAnsi="Calibri" w:eastAsia="Microsoft YaHei"/>
          <w:sz w:val="22"/>
        </w:rPr>
        <w:t>曲面汽车玻璃真空搬运的可靠性来自四个闭环：几何上真正密封、载荷上具有全姿态裕量、控制上可监测且不误释放、质量上不损伤表面和边缘。任何单点措施都不能替代完整验证。本文可作为设计评审和试验计划基础，但不构成产品认证、客户验收或第三方测试报告。</w:t>
      </w:r>
    </w:p>
    <w:p>
      <w:pPr>
        <w:pStyle w:val="Heading1"/>
        <w:pageBreakBefore/>
      </w:pPr>
      <w:r>
        <w:rPr>
          <w:rFonts w:ascii="Calibri" w:hAnsi="Calibri" w:eastAsia="Microsoft YaHei"/>
        </w:rPr>
        <w:t>参考文献</w:t>
      </w:r>
    </w:p>
    <w:p>
      <w:pPr>
        <w:pStyle w:val="AurekSource"/>
        <w:numPr>
          <w:ilvl w:val="0"/>
          <w:numId w:val="12"/>
        </w:numPr>
      </w:pPr>
      <w:r>
        <w:rPr>
          <w:rFonts w:ascii="Calibri" w:hAnsi="Calibri" w:eastAsia="Microsoft YaHei"/>
          <w:sz w:val="17"/>
        </w:rPr>
        <w:t xml:space="preserve">Hudoklin, J. et al. Vacuum Suction Cup Modeling for Evaluation of Sealing and Real-Time Simulation. IEEE Robotics and Automation Letters, 2022. </w:t>
      </w:r>
      <w:hyperlink r:id="rId12">
        <w:r>
          <w:rPr>
            <w:rFonts w:ascii="Calibri" w:hAnsi="Calibri" w:eastAsia="Microsoft YaHei"/>
            <w:color w:val="2E74B5"/>
            <w:u w:val="single"/>
          </w:rPr>
          <w:t>https://doi.org/10.1109/LRA.2022.3145509</w:t>
        </w:r>
      </w:hyperlink>
    </w:p>
    <w:p>
      <w:pPr>
        <w:pStyle w:val="AurekSource"/>
        <w:numPr>
          <w:ilvl w:val="0"/>
          <w:numId w:val="12"/>
        </w:numPr>
      </w:pPr>
      <w:r>
        <w:rPr>
          <w:rFonts w:ascii="Calibri" w:hAnsi="Calibri" w:eastAsia="Microsoft YaHei"/>
          <w:sz w:val="17"/>
        </w:rPr>
        <w:t xml:space="preserve">J. Schmalz GmbH. Vacuum-Handling Systems / Suction Cups for Automotive Glass Handling. </w:t>
      </w:r>
      <w:hyperlink r:id="rId13">
        <w:r>
          <w:rPr>
            <w:rFonts w:ascii="Calibri" w:hAnsi="Calibri" w:eastAsia="Microsoft YaHei"/>
            <w:color w:val="2E74B5"/>
            <w:u w:val="single"/>
          </w:rPr>
          <w:t>https://www.schmalz.com/site/binaries/content/assets/media/04_applications/industries/automotive/en/Vakuum-Handhabungssysteme_AMI_HS_2020_englisch.pdf</w:t>
        </w:r>
      </w:hyperlink>
    </w:p>
    <w:p>
      <w:pPr>
        <w:pStyle w:val="AurekSource"/>
        <w:numPr>
          <w:ilvl w:val="0"/>
          <w:numId w:val="12"/>
        </w:numPr>
      </w:pPr>
      <w:r>
        <w:rPr>
          <w:rFonts w:ascii="Calibri" w:hAnsi="Calibri" w:eastAsia="Microsoft YaHei"/>
          <w:sz w:val="17"/>
        </w:rPr>
        <w:t xml:space="preserve">J. Schmalz GmbH. Bellows suction cup SAB HT1 for dynamic handling of automotive glass. </w:t>
      </w:r>
      <w:hyperlink r:id="rId14">
        <w:r>
          <w:rPr>
            <w:rFonts w:ascii="Calibri" w:hAnsi="Calibri" w:eastAsia="Microsoft YaHei"/>
            <w:color w:val="2E74B5"/>
            <w:u w:val="single"/>
          </w:rPr>
          <w:t>https://www.schmalz.com/en-us/products/vacuum-technology-for-automation-301607/vacuum-components-301608/vacuum-suction-cups-301609/suction-cups-for-handling-glass-305667/bellows-suction-cups-sab-ht1-15-folds-305668</w:t>
        </w:r>
      </w:hyperlink>
    </w:p>
    <w:p>
      <w:pPr>
        <w:pStyle w:val="AurekSource"/>
        <w:numPr>
          <w:ilvl w:val="0"/>
          <w:numId w:val="12"/>
        </w:numPr>
      </w:pPr>
      <w:r>
        <w:rPr>
          <w:rFonts w:ascii="Calibri" w:hAnsi="Calibri" w:eastAsia="Microsoft YaHei"/>
          <w:sz w:val="17"/>
        </w:rPr>
        <w:t xml:space="preserve">GB 9656-2021 机动车玻璃安全技术规范. </w:t>
      </w:r>
      <w:hyperlink r:id="rId15">
        <w:r>
          <w:rPr>
            <w:rFonts w:ascii="Calibri" w:hAnsi="Calibri" w:eastAsia="Microsoft YaHei"/>
            <w:color w:val="2E74B5"/>
            <w:u w:val="single"/>
          </w:rPr>
          <w:t>https://openstd.samr.gov.cn/bzgk/std/newGbInfo?hcno=9D70607A5C909E556DC2D140CE56FE3A</w:t>
        </w:r>
      </w:hyperlink>
    </w:p>
    <w:p>
      <w:pPr>
        <w:pStyle w:val="AurekSource"/>
        <w:numPr>
          <w:ilvl w:val="0"/>
          <w:numId w:val="12"/>
        </w:numPr>
      </w:pPr>
      <w:r>
        <w:rPr>
          <w:rFonts w:ascii="Calibri" w:hAnsi="Calibri" w:eastAsia="Microsoft YaHei"/>
          <w:sz w:val="17"/>
        </w:rPr>
        <w:t xml:space="preserve">ISO 3537:2015. Road vehicles - Safety glazing materials - Mechanical tests. </w:t>
      </w:r>
      <w:hyperlink r:id="rId16">
        <w:r>
          <w:rPr>
            <w:rFonts w:ascii="Calibri" w:hAnsi="Calibri" w:eastAsia="Microsoft YaHei"/>
            <w:color w:val="2E74B5"/>
            <w:u w:val="single"/>
          </w:rPr>
          <w:t>https://www.iso.org/standard/56215.html</w:t>
        </w:r>
      </w:hyperlink>
    </w:p>
    <w:p>
      <w:pPr>
        <w:pStyle w:val="AurekSource"/>
        <w:numPr>
          <w:ilvl w:val="0"/>
          <w:numId w:val="12"/>
        </w:numPr>
      </w:pPr>
      <w:r>
        <w:rPr>
          <w:rFonts w:ascii="Calibri" w:hAnsi="Calibri" w:eastAsia="Microsoft YaHei"/>
          <w:sz w:val="17"/>
        </w:rPr>
        <w:t xml:space="preserve">Novotny, F.; Horak, M. Computer modelling of suction cups used for window cleaning robot and automatic handling of glass sheets. MM Science Journal, 2009. </w:t>
      </w:r>
      <w:hyperlink r:id="rId17">
        <w:r>
          <w:rPr>
            <w:rFonts w:ascii="Calibri" w:hAnsi="Calibri" w:eastAsia="Microsoft YaHei"/>
            <w:color w:val="2E74B5"/>
            <w:u w:val="single"/>
          </w:rPr>
          <w:t>https://doi.org/10.17973/MMSJ.2009_06_20090304</w:t>
        </w:r>
      </w:hyperlink>
    </w:p>
    <w:p>
      <w:pPr>
        <w:pStyle w:val="AurekSource"/>
        <w:numPr>
          <w:ilvl w:val="0"/>
          <w:numId w:val="12"/>
        </w:numPr>
      </w:pPr>
      <w:r>
        <w:rPr>
          <w:rFonts w:ascii="Calibri" w:hAnsi="Calibri" w:eastAsia="Microsoft YaHei"/>
          <w:sz w:val="17"/>
        </w:rPr>
        <w:t xml:space="preserve">ISO 12100:2010. Safety of machinery - General principles for design - Risk assessment and risk reduction. </w:t>
      </w:r>
      <w:hyperlink r:id="rId18">
        <w:r>
          <w:rPr>
            <w:rFonts w:ascii="Calibri" w:hAnsi="Calibri" w:eastAsia="Microsoft YaHei"/>
            <w:color w:val="2E74B5"/>
            <w:u w:val="single"/>
          </w:rPr>
          <w:t>https://www.iso.org/standard/51528.html</w:t>
        </w:r>
      </w:hyperlink>
    </w:p>
    <w:p>
      <w:pPr>
        <w:pStyle w:val="AurekSource"/>
        <w:numPr>
          <w:ilvl w:val="0"/>
          <w:numId w:val="12"/>
        </w:numPr>
      </w:pPr>
      <w:r>
        <w:rPr>
          <w:rFonts w:ascii="Calibri" w:hAnsi="Calibri" w:eastAsia="Microsoft YaHei"/>
          <w:sz w:val="17"/>
        </w:rPr>
        <w:t xml:space="preserve">ISO 4414:2010. Pneumatic fluid power - General rules and safety requirements for systems and their components. </w:t>
      </w:r>
      <w:hyperlink r:id="rId19">
        <w:r>
          <w:rPr>
            <w:rFonts w:ascii="Calibri" w:hAnsi="Calibri" w:eastAsia="Microsoft YaHei"/>
            <w:color w:val="2E74B5"/>
            <w:u w:val="single"/>
          </w:rPr>
          <w:t>https://www.iso.org/standard/44790.html</w:t>
        </w:r>
      </w:hyperlink>
    </w:p>
    <w:p>
      <w:pPr>
        <w:pStyle w:val="AurekSource"/>
        <w:numPr>
          <w:ilvl w:val="0"/>
          <w:numId w:val="12"/>
        </w:numPr>
      </w:pPr>
      <w:r>
        <w:rPr>
          <w:rFonts w:ascii="Calibri" w:hAnsi="Calibri" w:eastAsia="Microsoft YaHei"/>
          <w:sz w:val="17"/>
        </w:rPr>
        <w:t xml:space="preserve">ISO/TR 20218-1:2018. Robotics - Safety design for industrial robot systems - Part 1: End-effectors. </w:t>
      </w:r>
      <w:hyperlink r:id="rId20">
        <w:r>
          <w:rPr>
            <w:rFonts w:ascii="Calibri" w:hAnsi="Calibri" w:eastAsia="Microsoft YaHei"/>
            <w:color w:val="2E74B5"/>
            <w:u w:val="single"/>
          </w:rPr>
          <w:t>https://www.iso.org/standard/69488.html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Calibri" w:hAnsi="Calibri" w:eastAsia="Microsoft YaHei"/>
        <w:color w:val="5D6670"/>
        <w:sz w:val="17"/>
      </w:rPr>
      <w:t xml:space="preserve">PAGE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  <w:jc w:val="left"/>
    </w:pPr>
    <w:r>
      <w:rPr>
        <w:rFonts w:ascii="Calibri" w:hAnsi="Calibri" w:eastAsia="Microsoft YaHei"/>
        <w:b/>
        <w:color w:val="5D6670"/>
        <w:sz w:val="16"/>
      </w:rPr>
      <w:t>AUREK TECHNICAL RESEARCH</w:t>
    </w:r>
    <w:r>
      <w:tab/>
    </w:r>
    <w:r>
      <w:rPr>
        <w:rFonts w:ascii="Calibri" w:hAnsi="Calibri" w:eastAsia="Microsoft YaHei"/>
        <w:color w:val="5D6670"/>
        <w:sz w:val="16"/>
      </w:rPr>
      <w:t>AUREK-RC-AR-038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720"/>
        </w:tabs>
        <w:ind w:left="720" w:hanging="360"/>
        <w:spacing w:after="160" w:line="280" w:lineRule="auto"/>
      </w:pPr>
      <w:rPr>
        <w:rFonts w:ascii="Arial" w:hAnsi="Arial"/>
      </w:rPr>
    </w:lvl>
  </w:abstract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160" w:line="280" w:lineRule="auto"/>
      </w:pPr>
    </w:lvl>
  </w:abstractNum>
  <w:num w:numId="10">
    <w:abstractNumId w:val="9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64" w:lineRule="auto"/>
    </w:pPr>
    <w:rPr>
      <w:rFonts w:ascii="Calibri" w:hAnsi="Calibri" w:eastAsia="Microsoft YaHei"/>
      <w:b w:val="0"/>
      <w:color w:val="2226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urekContents">
    <w:name w:val="Aurek Contents"/>
    <w:basedOn w:val="Normal"/>
    <w:pPr>
      <w:spacing w:after="120" w:line="264" w:lineRule="auto"/>
    </w:pPr>
    <w:rPr>
      <w:rFonts w:ascii="Calibri" w:hAnsi="Calibri" w:eastAsia="Microsoft YaHei"/>
      <w:b w:val="0"/>
      <w:color w:val="5D6670"/>
      <w:sz w:val="21"/>
    </w:rPr>
  </w:style>
  <w:style w:type="paragraph" w:customStyle="1" w:styleId="AurekTable">
    <w:name w:val="Aurek Table"/>
    <w:basedOn w:val="Normal"/>
    <w:pPr>
      <w:spacing w:after="120" w:line="264" w:lineRule="auto"/>
    </w:pPr>
    <w:rPr>
      <w:rFonts w:ascii="Calibri" w:hAnsi="Calibri" w:eastAsia="Microsoft YaHei"/>
      <w:b w:val="0"/>
      <w:color w:val="22262A"/>
      <w:sz w:val="18"/>
    </w:rPr>
  </w:style>
  <w:style w:type="paragraph" w:customStyle="1" w:styleId="AurekEquation">
    <w:name w:val="Aurek Equation"/>
    <w:basedOn w:val="Normal"/>
    <w:pPr>
      <w:spacing w:after="120" w:line="264" w:lineRule="auto"/>
    </w:pPr>
    <w:rPr>
      <w:rFonts w:ascii="Calibri" w:hAnsi="Calibri" w:eastAsia="Microsoft YaHei"/>
      <w:b w:val="0"/>
      <w:color w:val="203748"/>
      <w:sz w:val="19"/>
    </w:rPr>
  </w:style>
  <w:style w:type="paragraph" w:customStyle="1" w:styleId="AurekSource">
    <w:name w:val="Aurek Source"/>
    <w:basedOn w:val="Normal"/>
    <w:pPr>
      <w:spacing w:after="120" w:line="264" w:lineRule="auto"/>
    </w:pPr>
    <w:rPr>
      <w:rFonts w:ascii="Calibri" w:hAnsi="Calibri" w:eastAsia="Microsoft YaHei"/>
      <w:b w:val="0"/>
      <w:color w:val="5D6670"/>
      <w:sz w:val="17"/>
    </w:rPr>
  </w:style>
  <w:style w:type="paragraph" w:customStyle="1" w:styleId="AurekCallout">
    <w:name w:val="Aurek Callout"/>
    <w:basedOn w:val="Normal"/>
    <w:pPr>
      <w:spacing w:after="120" w:line="264" w:lineRule="auto"/>
    </w:pPr>
    <w:rPr>
      <w:rFonts w:ascii="Calibri" w:hAnsi="Calibri" w:eastAsia="Microsoft YaHei"/>
      <w:b w:val="0"/>
      <w:color w:val="203748"/>
      <w:sz w:val="20"/>
    </w:rPr>
  </w:style>
  <w:style w:type="paragraph" w:customStyle="1" w:styleId="AurekList">
    <w:name w:val="Aurek List"/>
    <w:basedOn w:val="Normal"/>
    <w:pPr>
      <w:spacing w:after="120" w:line="280" w:lineRule="auto"/>
    </w:pPr>
    <w:rPr>
      <w:rFonts w:ascii="Calibri" w:hAnsi="Calibri" w:eastAsia="Microsoft YaHei"/>
      <w:b w:val="0"/>
      <w:color w:val="22262A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doi.org/10.1109/LRA.2022.3145509" TargetMode="External"/><Relationship Id="rId13" Type="http://schemas.openxmlformats.org/officeDocument/2006/relationships/hyperlink" Target="https://www.schmalz.com/site/binaries/content/assets/media/04_applications/industries/automotive/en/Vakuum-Handhabungssysteme_AMI_HS_2020_englisch.pdf" TargetMode="External"/><Relationship Id="rId14" Type="http://schemas.openxmlformats.org/officeDocument/2006/relationships/hyperlink" Target="https://www.schmalz.com/en-us/products/vacuum-technology-for-automation-301607/vacuum-components-301608/vacuum-suction-cups-301609/suction-cups-for-handling-glass-305667/bellows-suction-cups-sab-ht1-15-folds-305668" TargetMode="External"/><Relationship Id="rId15" Type="http://schemas.openxmlformats.org/officeDocument/2006/relationships/hyperlink" Target="https://openstd.samr.gov.cn/bzgk/std/newGbInfo?hcno=9D70607A5C909E556DC2D140CE56FE3A" TargetMode="External"/><Relationship Id="rId16" Type="http://schemas.openxmlformats.org/officeDocument/2006/relationships/hyperlink" Target="https://www.iso.org/standard/56215.html" TargetMode="External"/><Relationship Id="rId17" Type="http://schemas.openxmlformats.org/officeDocument/2006/relationships/hyperlink" Target="https://doi.org/10.17973/MMSJ.2009_06_20090304" TargetMode="External"/><Relationship Id="rId18" Type="http://schemas.openxmlformats.org/officeDocument/2006/relationships/hyperlink" Target="https://www.iso.org/standard/51528.html" TargetMode="External"/><Relationship Id="rId19" Type="http://schemas.openxmlformats.org/officeDocument/2006/relationships/hyperlink" Target="https://www.iso.org/standard/44790.html" TargetMode="External"/><Relationship Id="rId20" Type="http://schemas.openxmlformats.org/officeDocument/2006/relationships/hyperlink" Target="https://www.iso.org/standard/6948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曲面汽车玻璃真空吸附可靠性与动态翻转研究</dc:title>
  <dc:subject>汽车行业助力搬运与非标夹具工程研究</dc:subject>
  <dc:creator>江苏安睿克智能科技有限公司</dc:creator>
  <cp:keywords>汽车玻璃,曲面吸附,动态翻转,真空分区,失压保护</cp:keywords>
  <dc:description>公开资料研究与工程验证方法；非产品认证或客户验收证明。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