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120" w:after="600"/>
        <w:jc w:val="center"/>
      </w:pPr>
      <w:r>
        <w:drawing>
          <wp:inline xmlns:a="http://schemas.openxmlformats.org/drawingml/2006/main" xmlns:pic="http://schemas.openxmlformats.org/drawingml/2006/picture">
            <wp:extent cx="1691640" cy="5920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urek-logo-full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59207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rFonts w:ascii="Calibri" w:hAnsi="Calibri" w:eastAsia="Microsoft YaHei"/>
          <w:b/>
          <w:color w:val="B78727"/>
          <w:sz w:val="20"/>
        </w:rPr>
        <w:t>ENGINEERING RESEARCH REPORT · 工程研究报告</w:t>
      </w:r>
    </w:p>
    <w:p>
      <w:pPr>
        <w:keepLines/>
        <w:spacing w:after="280"/>
        <w:jc w:val="center"/>
      </w:pPr>
      <w:r>
        <w:rPr>
          <w:rFonts w:ascii="Calibri" w:hAnsi="Calibri" w:eastAsia="Microsoft YaHei"/>
          <w:b/>
          <w:color w:val="203748"/>
          <w:sz w:val="50"/>
        </w:rPr>
        <w:t>动力电池包搬运夹具失效安全设计与故障注入验证研究</w:t>
      </w:r>
    </w:p>
    <w:p>
      <w:pPr>
        <w:spacing w:after="840"/>
        <w:jc w:val="center"/>
      </w:pPr>
      <w:r>
        <w:rPr>
          <w:rFonts w:ascii="Calibri" w:hAnsi="Calibri" w:eastAsia="Microsoft YaHei"/>
          <w:color w:val="5D6670"/>
          <w:sz w:val="23"/>
        </w:rPr>
        <w:t>面向汽车行业助力搬运与非标夹具的公开资料研究、工程推导与验证方法</w:t>
      </w:r>
    </w:p>
    <w:p>
      <w:pPr>
        <w:spacing w:after="60"/>
        <w:jc w:val="center"/>
      </w:pPr>
      <w:r>
        <w:rPr>
          <w:rFonts w:ascii="Calibri" w:hAnsi="Calibri" w:eastAsia="Microsoft YaHei"/>
          <w:b/>
          <w:color w:val="5D6670"/>
          <w:sz w:val="20"/>
        </w:rPr>
        <w:t xml:space="preserve">文件编号  </w:t>
      </w:r>
      <w:r>
        <w:rPr>
          <w:rFonts w:ascii="Calibri" w:hAnsi="Calibri" w:eastAsia="Microsoft YaHei"/>
          <w:color w:val="203748"/>
          <w:sz w:val="20"/>
        </w:rPr>
        <w:t>AUREK-RC-AR-039</w:t>
      </w:r>
    </w:p>
    <w:p>
      <w:pPr>
        <w:spacing w:after="60"/>
        <w:jc w:val="center"/>
      </w:pPr>
      <w:r>
        <w:rPr>
          <w:rFonts w:ascii="Calibri" w:hAnsi="Calibri" w:eastAsia="Microsoft YaHei"/>
          <w:b/>
          <w:color w:val="5D6670"/>
          <w:sz w:val="20"/>
        </w:rPr>
        <w:t xml:space="preserve">版本  </w:t>
      </w:r>
      <w:r>
        <w:rPr>
          <w:rFonts w:ascii="Calibri" w:hAnsi="Calibri" w:eastAsia="Microsoft YaHei"/>
          <w:color w:val="203748"/>
          <w:sz w:val="20"/>
        </w:rPr>
        <w:t>V1.0</w:t>
      </w:r>
    </w:p>
    <w:p>
      <w:pPr>
        <w:spacing w:after="60"/>
        <w:jc w:val="center"/>
      </w:pPr>
      <w:r>
        <w:rPr>
          <w:rFonts w:ascii="Calibri" w:hAnsi="Calibri" w:eastAsia="Microsoft YaHei"/>
          <w:b/>
          <w:color w:val="5D6670"/>
          <w:sz w:val="20"/>
        </w:rPr>
        <w:t xml:space="preserve">发布日期  </w:t>
      </w:r>
      <w:r>
        <w:rPr>
          <w:rFonts w:ascii="Calibri" w:hAnsi="Calibri" w:eastAsia="Microsoft YaHei"/>
          <w:color w:val="203748"/>
          <w:sz w:val="20"/>
        </w:rPr>
        <w:t>2026-07-13</w:t>
      </w:r>
    </w:p>
    <w:p>
      <w:pPr>
        <w:spacing w:after="60"/>
        <w:jc w:val="center"/>
      </w:pPr>
      <w:r>
        <w:rPr>
          <w:rFonts w:ascii="Calibri" w:hAnsi="Calibri" w:eastAsia="Microsoft YaHei"/>
          <w:b/>
          <w:color w:val="5D6670"/>
          <w:sz w:val="20"/>
        </w:rPr>
        <w:t xml:space="preserve">发布单位  </w:t>
      </w:r>
      <w:r>
        <w:rPr>
          <w:rFonts w:ascii="Calibri" w:hAnsi="Calibri" w:eastAsia="Microsoft YaHei"/>
          <w:color w:val="203748"/>
          <w:sz w:val="20"/>
        </w:rPr>
        <w:t>江苏安睿克智能科技有限公司</w:t>
      </w:r>
    </w:p>
    <w:p>
      <w:pPr>
        <w:spacing w:before="720" w:after="0"/>
        <w:jc w:val="center"/>
      </w:pPr>
      <w:r>
        <w:rPr>
          <w:rFonts w:ascii="Calibri" w:hAnsi="Calibri" w:eastAsia="Microsoft YaHei"/>
          <w:b/>
          <w:color w:val="8A5C16"/>
          <w:sz w:val="18"/>
        </w:rPr>
        <w:t>研究与验证方法文件 · 非产品认证 / 非客户验收证明</w:t>
      </w:r>
    </w:p>
    <w:p>
      <w:r>
        <w:br w:type="page"/>
      </w:r>
    </w:p>
    <w:p>
      <w:pPr>
        <w:pStyle w:val="Heading1"/>
        <w:spacing w:before="0"/>
      </w:pPr>
      <w:r>
        <w:t>报告结构</w:t>
      </w:r>
    </w:p>
    <w:p>
      <w:pPr>
        <w:pStyle w:val="AurekContents"/>
        <w:ind w:left="259"/>
      </w:pPr>
      <w:r>
        <w:rPr>
          <w:rFonts w:ascii="Calibri" w:hAnsi="Calibri" w:eastAsia="Microsoft YaHei"/>
          <w:b/>
          <w:color w:val="203748"/>
          <w:sz w:val="21"/>
        </w:rPr>
        <w:t>00 执行摘要</w:t>
      </w:r>
    </w:p>
    <w:p>
      <w:pPr>
        <w:pStyle w:val="AurekContents"/>
        <w:ind w:left="259"/>
      </w:pPr>
      <w:r>
        <w:rPr>
          <w:rFonts w:ascii="Calibri" w:hAnsi="Calibri" w:eastAsia="Microsoft YaHei"/>
          <w:b w:val="0"/>
          <w:color w:val="203748"/>
          <w:sz w:val="21"/>
        </w:rPr>
        <w:t>01 研究范围与安全目标</w:t>
      </w:r>
    </w:p>
    <w:p>
      <w:pPr>
        <w:pStyle w:val="AurekContents"/>
        <w:ind w:left="259"/>
      </w:pPr>
      <w:r>
        <w:rPr>
          <w:rFonts w:ascii="Calibri" w:hAnsi="Calibri" w:eastAsia="Microsoft YaHei"/>
          <w:b w:val="0"/>
          <w:color w:val="203748"/>
          <w:sz w:val="21"/>
        </w:rPr>
        <w:t>02 承载架构与失效安全原则</w:t>
      </w:r>
    </w:p>
    <w:p>
      <w:pPr>
        <w:pStyle w:val="AurekContents"/>
        <w:ind w:left="259"/>
      </w:pPr>
      <w:r>
        <w:rPr>
          <w:rFonts w:ascii="Calibri" w:hAnsi="Calibri" w:eastAsia="Microsoft YaHei"/>
          <w:b w:val="0"/>
          <w:color w:val="203748"/>
          <w:sz w:val="21"/>
        </w:rPr>
        <w:t>03 气动、电气与控制安全架构</w:t>
      </w:r>
    </w:p>
    <w:p>
      <w:pPr>
        <w:pStyle w:val="AurekContents"/>
        <w:ind w:left="259"/>
      </w:pPr>
      <w:r>
        <w:rPr>
          <w:rFonts w:ascii="Calibri" w:hAnsi="Calibri" w:eastAsia="Microsoft YaHei"/>
          <w:b w:val="0"/>
          <w:color w:val="203748"/>
          <w:sz w:val="21"/>
        </w:rPr>
        <w:t>04 危险分析与 FMEA</w:t>
      </w:r>
    </w:p>
    <w:p>
      <w:pPr>
        <w:pStyle w:val="AurekContents"/>
        <w:ind w:left="259"/>
      </w:pPr>
      <w:r>
        <w:rPr>
          <w:rFonts w:ascii="Calibri" w:hAnsi="Calibri" w:eastAsia="Microsoft YaHei"/>
          <w:b w:val="0"/>
          <w:color w:val="203748"/>
          <w:sz w:val="21"/>
        </w:rPr>
        <w:t>05 故障注入验证策略</w:t>
      </w:r>
    </w:p>
    <w:p>
      <w:pPr>
        <w:pStyle w:val="AurekContents"/>
        <w:ind w:left="259"/>
      </w:pPr>
      <w:r>
        <w:rPr>
          <w:rFonts w:ascii="Calibri" w:hAnsi="Calibri" w:eastAsia="Microsoft YaHei"/>
          <w:b w:val="0"/>
          <w:color w:val="203748"/>
          <w:sz w:val="21"/>
        </w:rPr>
        <w:t>06 验收指标与证据链</w:t>
      </w:r>
    </w:p>
    <w:p>
      <w:pPr>
        <w:pStyle w:val="AurekContents"/>
        <w:ind w:left="259"/>
      </w:pPr>
      <w:r>
        <w:rPr>
          <w:rFonts w:ascii="Calibri" w:hAnsi="Calibri" w:eastAsia="Microsoft YaHei"/>
          <w:b w:val="0"/>
          <w:color w:val="203748"/>
          <w:sz w:val="21"/>
        </w:rPr>
        <w:t>07 安全恢复、维护与变更管理</w:t>
      </w:r>
    </w:p>
    <w:p>
      <w:pPr>
        <w:pStyle w:val="AurekContents"/>
        <w:ind w:left="259"/>
      </w:pPr>
      <w:r>
        <w:rPr>
          <w:rFonts w:ascii="Calibri" w:hAnsi="Calibri" w:eastAsia="Microsoft YaHei"/>
          <w:b w:val="0"/>
          <w:color w:val="203748"/>
          <w:sz w:val="21"/>
        </w:rPr>
        <w:t>08 结论与适用限制</w:t>
      </w:r>
    </w:p>
    <w:p>
      <w:pPr>
        <w:pStyle w:val="AurekContents"/>
        <w:ind w:left="259"/>
      </w:pPr>
      <w:r>
        <w:rPr>
          <w:rFonts w:ascii="Calibri" w:hAnsi="Calibri" w:eastAsia="Microsoft YaHei"/>
          <w:b w:val="0"/>
          <w:color w:val="203748"/>
          <w:sz w:val="21"/>
        </w:rPr>
        <w:t>参考文献</w:t>
      </w:r>
    </w:p>
    <w:p>
      <w:pPr>
        <w:pStyle w:val="AurekCallout"/>
        <w:spacing w:before="120" w:after="160"/>
        <w:ind w:left="259" w:right="173"/>
        <w:shd w:fill="F4F6F9"/>
        <w:pBdr>
          <w:left w:val="single" w:sz="18" w:space="8" w:color="B78727"/>
        </w:pBdr>
      </w:pPr>
      <w:r>
        <w:rPr>
          <w:rFonts w:ascii="Calibri" w:hAnsi="Calibri" w:eastAsia="Microsoft YaHei"/>
          <w:b/>
          <w:color w:val="203748"/>
          <w:sz w:val="20"/>
        </w:rPr>
        <w:t xml:space="preserve">研究边界  </w:t>
      </w:r>
      <w:r>
        <w:rPr>
          <w:rFonts w:ascii="Calibri" w:hAnsi="Calibri" w:eastAsia="Microsoft YaHei"/>
          <w:sz w:val="20"/>
        </w:rPr>
        <w:t>正文中的标准、论文与供应商资料用于支持方法框架；示例计算均带有假设。项目应用必须补充真实工件、夹具、动作曲线、风险评估与原始测试证据。</w:t>
      </w:r>
    </w:p>
    <w:p>
      <w:r>
        <w:br w:type="page"/>
      </w:r>
    </w:p>
    <w:p>
      <w:pPr>
        <w:pStyle w:val="AurekCallout"/>
        <w:spacing w:before="120" w:after="160"/>
        <w:ind w:left="259" w:right="173"/>
        <w:shd w:fill="F4F6F9"/>
        <w:pBdr>
          <w:left w:val="single" w:sz="18" w:space="8" w:color="B78727"/>
        </w:pBdr>
      </w:pPr>
      <w:r>
        <w:rPr>
          <w:rFonts w:ascii="Calibri" w:hAnsi="Calibri" w:eastAsia="Microsoft YaHei"/>
          <w:b/>
          <w:color w:val="203748"/>
          <w:sz w:val="20"/>
        </w:rPr>
        <w:t xml:space="preserve">研究边界  </w:t>
      </w:r>
      <w:r>
        <w:rPr>
          <w:rFonts w:ascii="Calibri" w:hAnsi="Calibri" w:eastAsia="Microsoft YaHei"/>
          <w:sz w:val="20"/>
        </w:rPr>
        <w:t>文档属性：方法研究与验证方案。本文未执行某一具体电池包夹具的故障注入，也不提供合格证书；示例载荷和响应要求必须由项目风险评估、真实载荷试验和客户技术条件确认。</w:t>
      </w:r>
    </w:p>
    <w:p>
      <w:pPr>
        <w:pStyle w:val="Heading1"/>
      </w:pPr>
      <w:r>
        <w:rPr>
          <w:rFonts w:ascii="Calibri" w:hAnsi="Calibri" w:eastAsia="Microsoft YaHei"/>
        </w:rPr>
        <w:t>00 执行摘要</w:t>
      </w:r>
    </w:p>
    <w:p>
      <w:pPr/>
      <w:r>
        <w:rPr>
          <w:rFonts w:ascii="Calibri" w:hAnsi="Calibri" w:eastAsia="Microsoft YaHei"/>
          <w:sz w:val="22"/>
        </w:rPr>
        <w:t>动力电池包质量大、重心分布复杂、壳体和密封面敏感，并可能带有高压连接、冷却接口和受损电芯风险。搬运夹具一旦发生断气、断电、锁止不到位、传感器失真或误释放，后果不仅是工件坠落，还可能引发壳体变形、绝缘/冷却系统损伤和后续安全隐患。GB 38031-2025 已于 2026 年 7 月 1 日实施，规定了电动汽车用动力蓄电池安全要求[1]；该标准面向电池产品安全，并不直接替代搬运夹具的机械安全设计，但说明电池包属于需要严格避免机械损伤和异常能量事件的对象。</w:t>
      </w:r>
    </w:p>
    <w:p>
      <w:pPr/>
      <w:r>
        <w:rPr>
          <w:rFonts w:ascii="Calibri" w:hAnsi="Calibri" w:eastAsia="Microsoft YaHei"/>
          <w:sz w:val="22"/>
        </w:rPr>
        <w:t>本研究提出“几何承托优先、危险释放受控、单故障可诊断、异常可安全落位”的失效安全架构。夹具不应主要依赖摩擦或持续气压保持重载；应优先建立明确的机械承力路径、闭合后自保持的锁止、受托确认后才能释放的联锁，以及对压力、位置、锁止和负载状态的多信号诊断。控制系统相关安全功能可依据 ISO 13849-1:2023 设计，并按 ISO 13849-2:2012 通过分析和测试验证[2][3]，所需性能等级由具体风险评估确定。</w:t>
      </w:r>
    </w:p>
    <w:p>
      <w:pPr/>
      <w:r>
        <w:rPr>
          <w:rFonts w:ascii="Calibri" w:hAnsi="Calibri" w:eastAsia="Microsoft YaHei"/>
          <w:b/>
          <w:color w:val="203748"/>
          <w:sz w:val="22"/>
        </w:rPr>
        <w:t>核心结论</w:t>
      </w:r>
    </w:p>
    <w:p>
      <w:pPr>
        <w:pStyle w:val="AurekList"/>
        <w:numPr>
          <w:ilvl w:val="0"/>
          <w:numId w:val="10"/>
        </w:numPr>
      </w:pPr>
      <w:r>
        <w:rPr>
          <w:rFonts w:ascii="Calibri" w:hAnsi="Calibri" w:eastAsia="Microsoft YaHei"/>
          <w:sz w:val="21"/>
        </w:rPr>
        <w:t>重载电池包应以几何托承和机械自保持为主要承载路径，不把单一气压、真空或摩擦作为唯一防坠措施。</w:t>
      </w:r>
    </w:p>
    <w:p>
      <w:pPr>
        <w:pStyle w:val="AurekList"/>
        <w:numPr>
          <w:ilvl w:val="0"/>
          <w:numId w:val="10"/>
        </w:numPr>
      </w:pPr>
      <w:r>
        <w:rPr>
          <w:rFonts w:ascii="Calibri" w:hAnsi="Calibri" w:eastAsia="Microsoft YaHei"/>
          <w:sz w:val="21"/>
        </w:rPr>
        <w:t>“失效安全”不是所有故障后继续生产，而是故障后保持载荷、停止危险动作、禁止释放并进入可诊断的恢复状态。</w:t>
      </w:r>
    </w:p>
    <w:p>
      <w:pPr>
        <w:pStyle w:val="AurekList"/>
        <w:numPr>
          <w:ilvl w:val="0"/>
          <w:numId w:val="10"/>
        </w:numPr>
      </w:pPr>
      <w:r>
        <w:rPr>
          <w:rFonts w:ascii="Calibri" w:hAnsi="Calibri" w:eastAsia="Microsoft YaHei"/>
          <w:sz w:val="21"/>
        </w:rPr>
        <w:t>故障注入必须覆盖传感器卡死、信号短路/断路、阀卡滞、管路破裂、压力渐降、通信中断、配方错配和误释放命令。</w:t>
      </w:r>
    </w:p>
    <w:p>
      <w:pPr>
        <w:pStyle w:val="AurekList"/>
        <w:numPr>
          <w:ilvl w:val="0"/>
          <w:numId w:val="10"/>
        </w:numPr>
      </w:pPr>
      <w:r>
        <w:rPr>
          <w:rFonts w:ascii="Calibri" w:hAnsi="Calibri" w:eastAsia="Microsoft YaHei"/>
          <w:sz w:val="21"/>
        </w:rPr>
        <w:t>测试应遵循低能量到高能量、替代载荷到真实电池包、单故障到合理组合故障的递进原则。</w:t>
      </w:r>
    </w:p>
    <w:p>
      <w:pPr>
        <w:pStyle w:val="AurekList"/>
        <w:numPr>
          <w:ilvl w:val="0"/>
          <w:numId w:val="10"/>
        </w:numPr>
      </w:pPr>
      <w:r>
        <w:rPr>
          <w:rFonts w:ascii="Calibri" w:hAnsi="Calibri" w:eastAsia="Microsoft YaHei"/>
          <w:sz w:val="21"/>
        </w:rPr>
        <w:t>验证证据要能追溯到安全需求、故障假设、试验步骤、原始信号、判定和整改闭环。</w:t>
      </w:r>
    </w:p>
    <w:p>
      <w:pPr>
        <w:pStyle w:val="Heading1"/>
      </w:pPr>
      <w:r>
        <w:rPr>
          <w:rFonts w:ascii="Calibri" w:hAnsi="Calibri" w:eastAsia="Microsoft YaHei"/>
        </w:rPr>
        <w:t>01 研究范围与安全目标</w:t>
      </w:r>
    </w:p>
    <w:p>
      <w:pPr/>
      <w:r>
        <w:rPr>
          <w:rFonts w:ascii="Calibri" w:hAnsi="Calibri" w:eastAsia="Microsoft YaHei"/>
          <w:sz w:val="22"/>
        </w:rPr>
        <w:t>研究对象包括电池模组、下壳体、电池托盘和完整动力电池包在装配、检测、返修和线边转运中的专用搬运夹具，载体可以是助力机械臂、起重装置、机器人或专机。本文重点研究夹具与控制接口，不覆盖电芯电化学设计、BMS 算法认证或运输法规。</w:t>
      </w:r>
    </w:p>
    <w:p>
      <w:pPr/>
      <w:r>
        <w:rPr>
          <w:rFonts w:ascii="Calibri" w:hAnsi="Calibri" w:eastAsia="Microsoft YaHei"/>
          <w:sz w:val="22"/>
        </w:rPr>
        <w:t>安全目标分为四类：人员不暴露于坠落和挤压危险；电池包不因搬运产生超出产品允许的壳体、密封面或接口损伤；夹具单一故障不会直接导致危险释放；异常状态能够通过明确步骤把载荷转移到安全支撑。ISO 12100 要求在机械全生命周期内识别危险并进行风险降低[4]，ISO/TR 20218-1 则为机器人末端执行器的设计与集成提供安全指导[5]。</w:t>
      </w:r>
    </w:p>
    <w:tbl>
      <w:tblPr>
        <w:tblStyle w:val="TableGrid"/>
        <w:tblLook w:firstColumn="1" w:firstRow="1" w:lastColumn="0" w:lastRow="0" w:noHBand="0" w:noVBand="1" w:val="04A0"/>
        <w:tblW w:w="9360" w:type="dxa"/>
        <w:tblInd w:w="12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1500"/>
        <w:gridCol w:w="2160"/>
        <w:gridCol w:w="2700"/>
        <w:gridCol w:w="3000"/>
      </w:tblGrid>
      <w:tr>
        <w:trPr>
          <w:cantSplit w:val="true"/>
          <w:tblHeader w:val="true"/>
        </w:trPr>
        <w:tc>
          <w:tcPr>
            <w:tcW w:type="dxa" w:w="150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安全功能</w:t>
            </w:r>
          </w:p>
        </w:tc>
        <w:tc>
          <w:tcPr>
            <w:tcW w:type="dxa" w:w="216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触发条件</w:t>
            </w:r>
          </w:p>
        </w:tc>
        <w:tc>
          <w:tcPr>
            <w:tcW w:type="dxa" w:w="270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目标反应</w:t>
            </w:r>
          </w:p>
        </w:tc>
        <w:tc>
          <w:tcPr>
            <w:tcW w:type="dxa" w:w="300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必须保留的证据</w:t>
            </w:r>
          </w:p>
        </w:tc>
      </w:tr>
      <w:tr>
        <w:trPr>
          <w:cantSplit w:val="true"/>
        </w:trPr>
        <w:tc>
          <w:tcPr>
            <w:tcW w:type="dxa" w:w="15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夹持/托承确认</w:t>
            </w:r>
          </w:p>
        </w:tc>
        <w:tc>
          <w:tcPr>
            <w:tcW w:type="dxa" w:w="21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取件前</w:t>
            </w:r>
          </w:p>
        </w:tc>
        <w:tc>
          <w:tcPr>
            <w:tcW w:type="dxa" w:w="27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未确认则禁止提升</w:t>
            </w:r>
          </w:p>
        </w:tc>
        <w:tc>
          <w:tcPr>
            <w:tcW w:type="dxa" w:w="30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位置、压力/力、锁止状态</w:t>
            </w:r>
          </w:p>
        </w:tc>
      </w:tr>
      <w:tr>
        <w:trPr>
          <w:cantSplit w:val="true"/>
        </w:trPr>
        <w:tc>
          <w:tcPr>
            <w:tcW w:type="dxa" w:w="15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载荷保持</w:t>
            </w:r>
          </w:p>
        </w:tc>
        <w:tc>
          <w:tcPr>
            <w:tcW w:type="dxa" w:w="21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断气、断电、阀故障</w:t>
            </w:r>
          </w:p>
        </w:tc>
        <w:tc>
          <w:tcPr>
            <w:tcW w:type="dxa" w:w="27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不危险释放，停止运动</w:t>
            </w:r>
          </w:p>
        </w:tc>
        <w:tc>
          <w:tcPr>
            <w:tcW w:type="dxa" w:w="30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保持时间、位移、结构状态</w:t>
            </w:r>
          </w:p>
        </w:tc>
      </w:tr>
      <w:tr>
        <w:trPr>
          <w:cantSplit w:val="true"/>
        </w:trPr>
        <w:tc>
          <w:tcPr>
            <w:tcW w:type="dxa" w:w="15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受托释放</w:t>
            </w:r>
          </w:p>
        </w:tc>
        <w:tc>
          <w:tcPr>
            <w:tcW w:type="dxa" w:w="21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工件已落位且姿态允许</w:t>
            </w:r>
          </w:p>
        </w:tc>
        <w:tc>
          <w:tcPr>
            <w:tcW w:type="dxa" w:w="27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才允许解锁/松夹</w:t>
            </w:r>
          </w:p>
        </w:tc>
        <w:tc>
          <w:tcPr>
            <w:tcW w:type="dxa" w:w="30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支撑信号、位置和命令记录</w:t>
            </w:r>
          </w:p>
        </w:tc>
      </w:tr>
      <w:tr>
        <w:trPr>
          <w:cantSplit w:val="true"/>
        </w:trPr>
        <w:tc>
          <w:tcPr>
            <w:tcW w:type="dxa" w:w="15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错配抑制</w:t>
            </w:r>
          </w:p>
        </w:tc>
        <w:tc>
          <w:tcPr>
            <w:tcW w:type="dxa" w:w="21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电池型号/夹具/配方不一致</w:t>
            </w:r>
          </w:p>
        </w:tc>
        <w:tc>
          <w:tcPr>
            <w:tcW w:type="dxa" w:w="27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禁止夹持或提升</w:t>
            </w:r>
          </w:p>
        </w:tc>
        <w:tc>
          <w:tcPr>
            <w:tcW w:type="dxa" w:w="30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ID、配方版本、联锁日志</w:t>
            </w:r>
          </w:p>
        </w:tc>
      </w:tr>
      <w:tr>
        <w:trPr>
          <w:cantSplit w:val="true"/>
        </w:trPr>
        <w:tc>
          <w:tcPr>
            <w:tcW w:type="dxa" w:w="15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异常恢复</w:t>
            </w:r>
          </w:p>
        </w:tc>
        <w:tc>
          <w:tcPr>
            <w:tcW w:type="dxa" w:w="21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任一安全相关故障</w:t>
            </w:r>
          </w:p>
        </w:tc>
        <w:tc>
          <w:tcPr>
            <w:tcW w:type="dxa" w:w="27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进入受控落位或维修状态</w:t>
            </w:r>
          </w:p>
        </w:tc>
        <w:tc>
          <w:tcPr>
            <w:tcW w:type="dxa" w:w="30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恢复步骤与授权记录</w:t>
            </w:r>
          </w:p>
        </w:tc>
      </w:tr>
    </w:tbl>
    <w:p>
      <w:pPr>
        <w:spacing w:after="40"/>
      </w:pPr>
    </w:p>
    <w:p>
      <w:pPr>
        <w:pStyle w:val="Heading1"/>
      </w:pPr>
      <w:r>
        <w:rPr>
          <w:rFonts w:ascii="Calibri" w:hAnsi="Calibri" w:eastAsia="Microsoft YaHei"/>
        </w:rPr>
        <w:t>02 承载架构与失效安全原则</w:t>
      </w:r>
    </w:p>
    <w:p>
      <w:pPr>
        <w:pStyle w:val="Heading2"/>
      </w:pPr>
      <w:r>
        <w:rPr>
          <w:rFonts w:ascii="Calibri" w:hAnsi="Calibri" w:eastAsia="Microsoft YaHei"/>
        </w:rPr>
        <w:t>02.1 几何承托优先</w:t>
      </w:r>
    </w:p>
    <w:p>
      <w:pPr/>
      <w:r>
        <w:rPr>
          <w:rFonts w:ascii="Calibri" w:hAnsi="Calibri" w:eastAsia="Microsoft YaHei"/>
          <w:sz w:val="22"/>
        </w:rPr>
        <w:t>电池包质量大且底部通常存在结构允许区和禁触区。优先使用托臂、叉形支承、承力孔/边梁定位或经产品方确认的机械抓取点，让重力通过明确结构路径传递。气缸或电机主要用于闭合、定位与锁止，不应在能源消失后立即失去全部承载。</w:t>
      </w:r>
    </w:p>
    <w:p>
      <w:pPr/>
      <w:r>
        <w:rPr>
          <w:rFonts w:ascii="Calibri" w:hAnsi="Calibri" w:eastAsia="Microsoft YaHei"/>
          <w:sz w:val="22"/>
        </w:rPr>
        <w:t>若必须使用夹紧摩擦传力，应取得最低摩擦系数、接触材料、表面状态和夹紧力的可验证数据，并评估夹紧对壳体、冷却板、密封面和涂层的影响。对重载安全功能，几何托承通常比单纯提高夹紧力更稳健。</w:t>
      </w:r>
    </w:p>
    <w:p>
      <w:pPr>
        <w:pStyle w:val="Heading2"/>
      </w:pPr>
      <w:r>
        <w:rPr>
          <w:rFonts w:ascii="Calibri" w:hAnsi="Calibri" w:eastAsia="Microsoft YaHei"/>
        </w:rPr>
        <w:t>02.2 载荷工况与示例计算</w:t>
      </w:r>
    </w:p>
    <w:p>
      <w:pPr>
        <w:pStyle w:val="AurekEquation"/>
        <w:spacing w:before="80" w:after="160"/>
        <w:jc w:val="center"/>
        <w:shd w:fill="EEF3F7"/>
      </w:pPr>
      <w:r>
        <w:rPr>
          <w:rFonts w:ascii="Consolas" w:hAnsi="Consolas" w:eastAsia="Microsoft YaHei"/>
          <w:color w:val="203748"/>
          <w:sz w:val="19"/>
        </w:rPr>
        <w:t>F_eq = m · (g + a_z) + F_shock</w:t>
        <w:br/>
        <w:t>F_design = S_L · F_eq</w:t>
      </w:r>
    </w:p>
    <w:p>
      <w:pPr/>
      <w:r>
        <w:rPr>
          <w:rFonts w:ascii="Calibri" w:hAnsi="Calibri" w:eastAsia="Microsoft YaHei"/>
          <w:sz w:val="22"/>
        </w:rPr>
        <w:t>假设电池包质量 650 kg，最大向上加速度 0.25g，暂不计额外冲击，则等效竖向载荷约为 7.97 kN。若示例安全系数 S_L=2.0，设计竖向载荷约为 15.9 kN；四个理想均匀支点平均约 4.0 kN/点。实际必须再考虑重心偏移、支点刚度不一致、制造公差、倾斜、制动和单支点失效。该示例不代表项目额定载荷或推荐系数。</w:t>
      </w:r>
    </w:p>
    <w:p>
      <w:pPr/>
      <w:r>
        <w:rPr>
          <w:rFonts w:ascii="Calibri" w:hAnsi="Calibri" w:eastAsia="Microsoft YaHei"/>
          <w:sz w:val="22"/>
        </w:rPr>
        <w:t>对于偏心重心，应通过静力平衡或有限元计算每个支点反力。不能把总载荷简单平均分配。若电池包存在不同长度、质量或附件配置，应将“最大单点反力”而非“最大总质量”作为支点设计输入之一。</w:t>
      </w:r>
    </w:p>
    <w:p>
      <w:pPr>
        <w:pStyle w:val="Heading2"/>
      </w:pPr>
      <w:r>
        <w:rPr>
          <w:rFonts w:ascii="Calibri" w:hAnsi="Calibri" w:eastAsia="Microsoft YaHei"/>
        </w:rPr>
        <w:t>02.3 锁止与释放</w:t>
      </w:r>
    </w:p>
    <w:p>
      <w:pPr/>
      <w:r>
        <w:rPr>
          <w:rFonts w:ascii="Calibri" w:hAnsi="Calibri" w:eastAsia="Microsoft YaHei"/>
          <w:sz w:val="22"/>
        </w:rPr>
        <w:t>锁止机构应在闭合到位后形成可验证的机械状态；失去驱动能源时，应保持载荷或至少防止危险释放。释放必须满足工件受托、夹具处于允许位置、运动停止、人员区域安全和操作命令有效等条件。任何传感矛盾应进入保守状态，而不是用软件默认值代替真实反馈。</w:t>
      </w:r>
    </w:p>
    <w:p>
      <w:pPr>
        <w:pStyle w:val="Heading1"/>
      </w:pPr>
      <w:r>
        <w:rPr>
          <w:rFonts w:ascii="Calibri" w:hAnsi="Calibri" w:eastAsia="Microsoft YaHei"/>
        </w:rPr>
        <w:t>03 气动、电气与控制安全架构</w:t>
      </w:r>
    </w:p>
    <w:p>
      <w:pPr/>
      <w:r>
        <w:rPr>
          <w:rFonts w:ascii="Calibri" w:hAnsi="Calibri" w:eastAsia="Microsoft YaHei"/>
          <w:sz w:val="22"/>
        </w:rPr>
        <w:t>ISO 4414:2010 适用于机械上的气动系统和部件，覆盖与预期使用相关的重要危险[6]。在电池包夹具中，气路设计要考虑管路破裂、接头脱落、阀芯卡滞、压力源波动、残余能量和维护隔离。储气或保压元件只能延缓能力下降，不能自动等同于安全保持。</w:t>
      </w:r>
    </w:p>
    <w:p>
      <w:pPr/>
      <w:r>
        <w:rPr>
          <w:rFonts w:ascii="Calibri" w:hAnsi="Calibri" w:eastAsia="Microsoft YaHei"/>
          <w:sz w:val="22"/>
        </w:rPr>
        <w:t>推荐的诊断层包括：源压力、执行器两腔或关键回路压力、锁止位置、夹爪/托臂位置、工件存在、受托状态、载荷/重量合理性和控制通信健康。不同信号应尽量具有物理多样性，避免两个“冗余”信号实际来自同一个机械靶标或同一根电缆。</w:t>
      </w:r>
    </w:p>
    <w:p>
      <w:pPr>
        <w:pStyle w:val="AurekEquation"/>
        <w:spacing w:before="80" w:after="160"/>
        <w:jc w:val="center"/>
        <w:shd w:fill="EEF3F7"/>
      </w:pPr>
      <w:r>
        <w:rPr>
          <w:rFonts w:ascii="Consolas" w:hAnsi="Consolas" w:eastAsia="Microsoft YaHei"/>
          <w:color w:val="203748"/>
          <w:sz w:val="19"/>
        </w:rPr>
        <w:t>Lift_Enable = Load_Present ∧ Clamp_Closed ∧ Lock_Confirmed ∧ Pressure_OK ∧ Recipe_Match</w:t>
        <w:br/>
        <w:t>Release_Enable = Supported ∧ Safe_Position ∧ Motion_Stopped ∧ Operator_Command ∧ Diagnostics_OK</w:t>
      </w:r>
    </w:p>
    <w:p>
      <w:pPr/>
      <w:r>
        <w:rPr>
          <w:rFonts w:ascii="Calibri" w:hAnsi="Calibri" w:eastAsia="Microsoft YaHei"/>
          <w:sz w:val="22"/>
        </w:rPr>
        <w:t>逻辑表达式只描述功能关系，不等同于已满足某一性能等级。安全相关控制系统的结构、诊断覆盖、共因失效、软件和验证应按项目选定标准实施[2][3]。</w:t>
      </w:r>
    </w:p>
    <w:p>
      <w:pPr>
        <w:pStyle w:val="Heading1"/>
      </w:pPr>
      <w:r>
        <w:rPr>
          <w:rFonts w:ascii="Calibri" w:hAnsi="Calibri" w:eastAsia="Microsoft YaHei"/>
        </w:rPr>
        <w:t>04 危险分析与 FMEA</w:t>
      </w:r>
    </w:p>
    <w:tbl>
      <w:tblPr>
        <w:tblStyle w:val="TableGrid"/>
        <w:tblLook w:firstColumn="1" w:firstRow="1" w:lastColumn="0" w:lastRow="0" w:noHBand="0" w:noVBand="1" w:val="04A0"/>
        <w:tblW w:w="9360" w:type="dxa"/>
        <w:tblInd w:w="12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1300"/>
        <w:gridCol w:w="1760"/>
        <w:gridCol w:w="2060"/>
        <w:gridCol w:w="2120"/>
        <w:gridCol w:w="2120"/>
      </w:tblGrid>
      <w:tr>
        <w:trPr>
          <w:cantSplit w:val="true"/>
          <w:tblHeader w:val="true"/>
        </w:trPr>
        <w:tc>
          <w:tcPr>
            <w:tcW w:type="dxa" w:w="130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失效模式</w:t>
            </w:r>
          </w:p>
        </w:tc>
        <w:tc>
          <w:tcPr>
            <w:tcW w:type="dxa" w:w="176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局部原因</w:t>
            </w:r>
          </w:p>
        </w:tc>
        <w:tc>
          <w:tcPr>
            <w:tcW w:type="dxa" w:w="206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潜在后果</w:t>
            </w:r>
          </w:p>
        </w:tc>
        <w:tc>
          <w:tcPr>
            <w:tcW w:type="dxa" w:w="212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设计控制</w:t>
            </w:r>
          </w:p>
        </w:tc>
        <w:tc>
          <w:tcPr>
            <w:tcW w:type="dxa" w:w="212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验证方式</w:t>
            </w:r>
          </w:p>
        </w:tc>
      </w:tr>
      <w:tr>
        <w:trPr>
          <w:cantSplit w:val="true"/>
        </w:trPr>
        <w:tc>
          <w:tcPr>
            <w:tcW w:type="dxa" w:w="13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气源突然丢失</w:t>
            </w:r>
          </w:p>
        </w:tc>
        <w:tc>
          <w:tcPr>
            <w:tcW w:type="dxa" w:w="17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总管断气、接头脱落</w:t>
            </w:r>
          </w:p>
        </w:tc>
        <w:tc>
          <w:tcPr>
            <w:tcW w:type="dxa" w:w="20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夹紧力下降、载荷滑移</w:t>
            </w:r>
          </w:p>
        </w:tc>
        <w:tc>
          <w:tcPr>
            <w:tcW w:type="dxa" w:w="212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机械托承、自保持锁、止回与监测</w:t>
            </w:r>
          </w:p>
        </w:tc>
        <w:tc>
          <w:tcPr>
            <w:tcW w:type="dxa" w:w="212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断气故障注入</w:t>
            </w:r>
          </w:p>
        </w:tc>
      </w:tr>
      <w:tr>
        <w:trPr>
          <w:cantSplit w:val="true"/>
        </w:trPr>
        <w:tc>
          <w:tcPr>
            <w:tcW w:type="dxa" w:w="13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单支路破裂</w:t>
            </w:r>
          </w:p>
        </w:tc>
        <w:tc>
          <w:tcPr>
            <w:tcW w:type="dxa" w:w="17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软管磨损、接头损坏</w:t>
            </w:r>
          </w:p>
        </w:tc>
        <w:tc>
          <w:tcPr>
            <w:tcW w:type="dxa" w:w="20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单夹爪失效、偏载</w:t>
            </w:r>
          </w:p>
        </w:tc>
        <w:tc>
          <w:tcPr>
            <w:tcW w:type="dxa" w:w="212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分区隔离、支点冗余、压力监测</w:t>
            </w:r>
          </w:p>
        </w:tc>
        <w:tc>
          <w:tcPr>
            <w:tcW w:type="dxa" w:w="212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指定位置开漏</w:t>
            </w:r>
          </w:p>
        </w:tc>
      </w:tr>
      <w:tr>
        <w:trPr>
          <w:cantSplit w:val="true"/>
        </w:trPr>
        <w:tc>
          <w:tcPr>
            <w:tcW w:type="dxa" w:w="13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阀芯卡在释放位</w:t>
            </w:r>
          </w:p>
        </w:tc>
        <w:tc>
          <w:tcPr>
            <w:tcW w:type="dxa" w:w="17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污染、机械故障</w:t>
            </w:r>
          </w:p>
        </w:tc>
        <w:tc>
          <w:tcPr>
            <w:tcW w:type="dxa" w:w="20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非预期松夹</w:t>
            </w:r>
          </w:p>
        </w:tc>
        <w:tc>
          <w:tcPr>
            <w:tcW w:type="dxa" w:w="212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释放隔离、双条件许可、机械保持</w:t>
            </w:r>
          </w:p>
        </w:tc>
        <w:tc>
          <w:tcPr>
            <w:tcW w:type="dxa" w:w="212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模拟阀卡滞</w:t>
            </w:r>
          </w:p>
        </w:tc>
      </w:tr>
      <w:tr>
        <w:trPr>
          <w:cantSplit w:val="true"/>
        </w:trPr>
        <w:tc>
          <w:tcPr>
            <w:tcW w:type="dxa" w:w="13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锁止未完全到位</w:t>
            </w:r>
          </w:p>
        </w:tc>
        <w:tc>
          <w:tcPr>
            <w:tcW w:type="dxa" w:w="17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公差、异物、错位</w:t>
            </w:r>
          </w:p>
        </w:tc>
        <w:tc>
          <w:tcPr>
            <w:tcW w:type="dxa" w:w="20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承载时脱开</w:t>
            </w:r>
          </w:p>
        </w:tc>
        <w:tc>
          <w:tcPr>
            <w:tcW w:type="dxa" w:w="212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独立锁止反馈、几何防脱</w:t>
            </w:r>
          </w:p>
        </w:tc>
        <w:tc>
          <w:tcPr>
            <w:tcW w:type="dxa" w:w="212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半锁状态试验</w:t>
            </w:r>
          </w:p>
        </w:tc>
      </w:tr>
      <w:tr>
        <w:trPr>
          <w:cantSplit w:val="true"/>
        </w:trPr>
        <w:tc>
          <w:tcPr>
            <w:tcW w:type="dxa" w:w="13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传感器卡常开</w:t>
            </w:r>
          </w:p>
        </w:tc>
        <w:tc>
          <w:tcPr>
            <w:tcW w:type="dxa" w:w="17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线路短路、软件冻结</w:t>
            </w:r>
          </w:p>
        </w:tc>
        <w:tc>
          <w:tcPr>
            <w:tcW w:type="dxa" w:w="20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未夹紧却允许提升</w:t>
            </w:r>
          </w:p>
        </w:tc>
        <w:tc>
          <w:tcPr>
            <w:tcW w:type="dxa" w:w="212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互补信号、时序/合理性诊断</w:t>
            </w:r>
          </w:p>
        </w:tc>
        <w:tc>
          <w:tcPr>
            <w:tcW w:type="dxa" w:w="212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信号强制为 1</w:t>
            </w:r>
          </w:p>
        </w:tc>
      </w:tr>
      <w:tr>
        <w:trPr>
          <w:cantSplit w:val="true"/>
        </w:trPr>
        <w:tc>
          <w:tcPr>
            <w:tcW w:type="dxa" w:w="13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传感器卡常闭</w:t>
            </w:r>
          </w:p>
        </w:tc>
        <w:tc>
          <w:tcPr>
            <w:tcW w:type="dxa" w:w="17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断路、靶标偏移</w:t>
            </w:r>
          </w:p>
        </w:tc>
        <w:tc>
          <w:tcPr>
            <w:tcW w:type="dxa" w:w="20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无法释放或误判故障</w:t>
            </w:r>
          </w:p>
        </w:tc>
        <w:tc>
          <w:tcPr>
            <w:tcW w:type="dxa" w:w="212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断线诊断、维护状态</w:t>
            </w:r>
          </w:p>
        </w:tc>
        <w:tc>
          <w:tcPr>
            <w:tcW w:type="dxa" w:w="212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信号强制为 0</w:t>
            </w:r>
          </w:p>
        </w:tc>
      </w:tr>
      <w:tr>
        <w:trPr>
          <w:cantSplit w:val="true"/>
        </w:trPr>
        <w:tc>
          <w:tcPr>
            <w:tcW w:type="dxa" w:w="13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型号配方错误</w:t>
            </w:r>
          </w:p>
        </w:tc>
        <w:tc>
          <w:tcPr>
            <w:tcW w:type="dxa" w:w="17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扫码/网络/人工错误</w:t>
            </w:r>
          </w:p>
        </w:tc>
        <w:tc>
          <w:tcPr>
            <w:tcW w:type="dxa" w:w="20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受力点错误、干涉</w:t>
            </w:r>
          </w:p>
        </w:tc>
        <w:tc>
          <w:tcPr>
            <w:tcW w:type="dxa" w:w="212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机械防错、ID 一致性、版本控制</w:t>
            </w:r>
          </w:p>
        </w:tc>
        <w:tc>
          <w:tcPr>
            <w:tcW w:type="dxa" w:w="212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错配注入</w:t>
            </w:r>
          </w:p>
        </w:tc>
      </w:tr>
      <w:tr>
        <w:trPr>
          <w:cantSplit w:val="true"/>
        </w:trPr>
        <w:tc>
          <w:tcPr>
            <w:tcW w:type="dxa" w:w="13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误释放命令</w:t>
            </w:r>
          </w:p>
        </w:tc>
        <w:tc>
          <w:tcPr>
            <w:tcW w:type="dxa" w:w="17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人机界面或程序错误</w:t>
            </w:r>
          </w:p>
        </w:tc>
        <w:tc>
          <w:tcPr>
            <w:tcW w:type="dxa" w:w="20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悬空坠落</w:t>
            </w:r>
          </w:p>
        </w:tc>
        <w:tc>
          <w:tcPr>
            <w:tcW w:type="dxa" w:w="212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受托联锁、受限位置、双动作</w:t>
            </w:r>
          </w:p>
        </w:tc>
        <w:tc>
          <w:tcPr>
            <w:tcW w:type="dxa" w:w="212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悬空发释放命令</w:t>
            </w:r>
          </w:p>
        </w:tc>
      </w:tr>
      <w:tr>
        <w:trPr>
          <w:cantSplit w:val="true"/>
        </w:trPr>
        <w:tc>
          <w:tcPr>
            <w:tcW w:type="dxa" w:w="13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通信中断</w:t>
            </w:r>
          </w:p>
        </w:tc>
        <w:tc>
          <w:tcPr>
            <w:tcW w:type="dxa" w:w="17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总线故障、PLC 重启</w:t>
            </w:r>
          </w:p>
        </w:tc>
        <w:tc>
          <w:tcPr>
            <w:tcW w:type="dxa" w:w="20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状态未知</w:t>
            </w:r>
          </w:p>
        </w:tc>
        <w:tc>
          <w:tcPr>
            <w:tcW w:type="dxa" w:w="212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保持载荷、停止运动、禁止释放</w:t>
            </w:r>
          </w:p>
        </w:tc>
        <w:tc>
          <w:tcPr>
            <w:tcW w:type="dxa" w:w="212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断网/重启注入</w:t>
            </w:r>
          </w:p>
        </w:tc>
      </w:tr>
      <w:tr>
        <w:trPr>
          <w:cantSplit w:val="true"/>
        </w:trPr>
        <w:tc>
          <w:tcPr>
            <w:tcW w:type="dxa" w:w="13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负载异常</w:t>
            </w:r>
          </w:p>
        </w:tc>
        <w:tc>
          <w:tcPr>
            <w:tcW w:type="dxa" w:w="17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双包、异物、重心异常</w:t>
            </w:r>
          </w:p>
        </w:tc>
        <w:tc>
          <w:tcPr>
            <w:tcW w:type="dxa" w:w="20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结构或起重装置过载</w:t>
            </w:r>
          </w:p>
        </w:tc>
        <w:tc>
          <w:tcPr>
            <w:tcW w:type="dxa" w:w="212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重量合理性、取件位防双取</w:t>
            </w:r>
          </w:p>
        </w:tc>
        <w:tc>
          <w:tcPr>
            <w:tcW w:type="dxa" w:w="212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替代载荷测试</w:t>
            </w:r>
          </w:p>
        </w:tc>
      </w:tr>
    </w:tbl>
    <w:p>
      <w:pPr>
        <w:spacing w:after="40"/>
      </w:pPr>
    </w:p>
    <w:p>
      <w:pPr/>
      <w:r>
        <w:rPr>
          <w:rFonts w:ascii="Calibri" w:hAnsi="Calibri" w:eastAsia="Microsoft YaHei"/>
          <w:sz w:val="22"/>
        </w:rPr>
        <w:t>FMEA 需与故障树或安全需求矩阵配合。对坠落顶事件，应寻找最小割集，例如“无几何承托 + 锁止失效 + 释放误命令”或“传感器共因失效 + 软件未诊断”。若某个单故障即可触发顶事件，应优先修改结构，而不是仅降低发生概率评分。</w:t>
      </w:r>
    </w:p>
    <w:p>
      <w:pPr>
        <w:pStyle w:val="Heading1"/>
      </w:pPr>
      <w:r>
        <w:rPr>
          <w:rFonts w:ascii="Calibri" w:hAnsi="Calibri" w:eastAsia="Microsoft YaHei"/>
        </w:rPr>
        <w:t>05 故障注入验证策略</w:t>
      </w:r>
    </w:p>
    <w:p>
      <w:pPr/>
      <w:r>
        <w:rPr>
          <w:rFonts w:ascii="Calibri" w:hAnsi="Calibri" w:eastAsia="Microsoft YaHei"/>
          <w:sz w:val="22"/>
        </w:rPr>
        <w:t>ISO 13849-2:2012 规定通过分析和测试验证安全功能、实现类别和性能等级的程序与条件[3]。故障注入是验证的一部分，不能替代完整的设计审查、元件数据、计算和软件验证。测试前必须完成风险评估、试验区隔离、替代载荷设计、紧急支撑和恢复方案。</w:t>
      </w:r>
    </w:p>
    <w:p>
      <w:pPr>
        <w:pStyle w:val="Heading2"/>
      </w:pPr>
      <w:r>
        <w:rPr>
          <w:rFonts w:ascii="Calibri" w:hAnsi="Calibri" w:eastAsia="Microsoft YaHei"/>
        </w:rPr>
        <w:t>05.1 分级顺序</w:t>
      </w:r>
    </w:p>
    <w:p>
      <w:pPr>
        <w:pStyle w:val="AurekList"/>
        <w:numPr>
          <w:ilvl w:val="0"/>
          <w:numId w:val="11"/>
        </w:numPr>
      </w:pPr>
      <w:r>
        <w:rPr>
          <w:rFonts w:ascii="Calibri" w:hAnsi="Calibri" w:eastAsia="Microsoft YaHei"/>
          <w:b/>
          <w:color w:val="203748"/>
          <w:sz w:val="21"/>
        </w:rPr>
        <w:t>模型与逻辑级</w:t>
      </w:r>
      <w:r>
        <w:rPr>
          <w:rFonts w:ascii="Calibri" w:hAnsi="Calibri" w:eastAsia="Microsoft YaHei"/>
          <w:sz w:val="21"/>
        </w:rPr>
        <w:t>：在控制仿真或离线逻辑中强制输入，确认状态机和报警。</w:t>
      </w:r>
    </w:p>
    <w:p>
      <w:pPr>
        <w:pStyle w:val="AurekList"/>
        <w:numPr>
          <w:ilvl w:val="0"/>
          <w:numId w:val="11"/>
        </w:numPr>
      </w:pPr>
      <w:r>
        <w:rPr>
          <w:rFonts w:ascii="Calibri" w:hAnsi="Calibri" w:eastAsia="Microsoft YaHei"/>
          <w:b/>
          <w:color w:val="203748"/>
          <w:sz w:val="21"/>
        </w:rPr>
        <w:t>低能量台架级</w:t>
      </w:r>
      <w:r>
        <w:rPr>
          <w:rFonts w:ascii="Calibri" w:hAnsi="Calibri" w:eastAsia="Microsoft YaHei"/>
          <w:sz w:val="21"/>
        </w:rPr>
        <w:t>：使用空夹具或轻质假件注入断线、短路、阀和压力故障。</w:t>
      </w:r>
    </w:p>
    <w:p>
      <w:pPr>
        <w:pStyle w:val="AurekList"/>
        <w:numPr>
          <w:ilvl w:val="0"/>
          <w:numId w:val="11"/>
        </w:numPr>
      </w:pPr>
      <w:r>
        <w:rPr>
          <w:rFonts w:ascii="Calibri" w:hAnsi="Calibri" w:eastAsia="Microsoft YaHei"/>
          <w:b/>
          <w:color w:val="203748"/>
          <w:sz w:val="21"/>
        </w:rPr>
        <w:t>额定替代载荷级</w:t>
      </w:r>
      <w:r>
        <w:rPr>
          <w:rFonts w:ascii="Calibri" w:hAnsi="Calibri" w:eastAsia="Microsoft YaHei"/>
          <w:sz w:val="21"/>
        </w:rPr>
        <w:t>：使用几何和质量等效的非电池载荷验证保持、位移与结构。</w:t>
      </w:r>
    </w:p>
    <w:p>
      <w:pPr>
        <w:pStyle w:val="AurekList"/>
        <w:numPr>
          <w:ilvl w:val="0"/>
          <w:numId w:val="11"/>
        </w:numPr>
      </w:pPr>
      <w:r>
        <w:rPr>
          <w:rFonts w:ascii="Calibri" w:hAnsi="Calibri" w:eastAsia="Microsoft YaHei"/>
          <w:b/>
          <w:color w:val="203748"/>
          <w:sz w:val="21"/>
        </w:rPr>
        <w:t>真实电池包级</w:t>
      </w:r>
      <w:r>
        <w:rPr>
          <w:rFonts w:ascii="Calibri" w:hAnsi="Calibri" w:eastAsia="Microsoft YaHei"/>
          <w:sz w:val="21"/>
        </w:rPr>
        <w:t>：只对前三级无法覆盖的界面和产品保护项目测试，风险受控且经授权。</w:t>
      </w:r>
    </w:p>
    <w:p>
      <w:pPr>
        <w:pStyle w:val="AurekList"/>
        <w:numPr>
          <w:ilvl w:val="0"/>
          <w:numId w:val="11"/>
        </w:numPr>
      </w:pPr>
      <w:r>
        <w:rPr>
          <w:rFonts w:ascii="Calibri" w:hAnsi="Calibri" w:eastAsia="Microsoft YaHei"/>
          <w:b/>
          <w:color w:val="203748"/>
          <w:sz w:val="21"/>
        </w:rPr>
        <w:t>现场集成级</w:t>
      </w:r>
      <w:r>
        <w:rPr>
          <w:rFonts w:ascii="Calibri" w:hAnsi="Calibri" w:eastAsia="Microsoft YaHei"/>
          <w:sz w:val="21"/>
        </w:rPr>
        <w:t>：确认与机械臂、起重装置、输送线、工装和安全系统的联锁。</w:t>
      </w:r>
    </w:p>
    <w:p>
      <w:pPr>
        <w:pStyle w:val="Heading2"/>
      </w:pPr>
      <w:r>
        <w:rPr>
          <w:rFonts w:ascii="Calibri" w:hAnsi="Calibri" w:eastAsia="Microsoft YaHei"/>
        </w:rPr>
        <w:t>05.2 故障注入矩阵</w:t>
      </w:r>
    </w:p>
    <w:tbl>
      <w:tblPr>
        <w:tblStyle w:val="TableGrid"/>
        <w:tblLook w:firstColumn="1" w:firstRow="1" w:lastColumn="0" w:lastRow="0" w:noHBand="0" w:noVBand="1" w:val="04A0"/>
        <w:tblW w:w="9360" w:type="dxa"/>
        <w:tblInd w:w="12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1300"/>
        <w:gridCol w:w="1760"/>
        <w:gridCol w:w="2060"/>
        <w:gridCol w:w="2120"/>
        <w:gridCol w:w="2120"/>
      </w:tblGrid>
      <w:tr>
        <w:trPr>
          <w:cantSplit w:val="true"/>
          <w:tblHeader w:val="true"/>
        </w:trPr>
        <w:tc>
          <w:tcPr>
            <w:tcW w:type="dxa" w:w="130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编号</w:t>
            </w:r>
          </w:p>
        </w:tc>
        <w:tc>
          <w:tcPr>
            <w:tcW w:type="dxa" w:w="176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注入故障</w:t>
            </w:r>
          </w:p>
        </w:tc>
        <w:tc>
          <w:tcPr>
            <w:tcW w:type="dxa" w:w="206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注入时刻</w:t>
            </w:r>
          </w:p>
        </w:tc>
        <w:tc>
          <w:tcPr>
            <w:tcW w:type="dxa" w:w="212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预期系统状态</w:t>
            </w:r>
          </w:p>
        </w:tc>
        <w:tc>
          <w:tcPr>
            <w:tcW w:type="dxa" w:w="212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关键记录</w:t>
            </w:r>
          </w:p>
        </w:tc>
      </w:tr>
      <w:tr>
        <w:trPr>
          <w:cantSplit w:val="true"/>
        </w:trPr>
        <w:tc>
          <w:tcPr>
            <w:tcW w:type="dxa" w:w="13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FI-01</w:t>
            </w:r>
          </w:p>
        </w:tc>
        <w:tc>
          <w:tcPr>
            <w:tcW w:type="dxa" w:w="17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总气源切断</w:t>
            </w:r>
          </w:p>
        </w:tc>
        <w:tc>
          <w:tcPr>
            <w:tcW w:type="dxa" w:w="20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提升后静止/运动中</w:t>
            </w:r>
          </w:p>
        </w:tc>
        <w:tc>
          <w:tcPr>
            <w:tcW w:type="dxa" w:w="212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保持载荷，停止危险运动，禁止释放</w:t>
            </w:r>
          </w:p>
        </w:tc>
        <w:tc>
          <w:tcPr>
            <w:tcW w:type="dxa" w:w="212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压力、位移、停止时间</w:t>
            </w:r>
          </w:p>
        </w:tc>
      </w:tr>
      <w:tr>
        <w:trPr>
          <w:cantSplit w:val="true"/>
        </w:trPr>
        <w:tc>
          <w:tcPr>
            <w:tcW w:type="dxa" w:w="13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FI-02</w:t>
            </w:r>
          </w:p>
        </w:tc>
        <w:tc>
          <w:tcPr>
            <w:tcW w:type="dxa" w:w="17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单支路快速泄漏</w:t>
            </w:r>
          </w:p>
        </w:tc>
        <w:tc>
          <w:tcPr>
            <w:tcW w:type="dxa" w:w="20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最不利姿态</w:t>
            </w:r>
          </w:p>
        </w:tc>
        <w:tc>
          <w:tcPr>
            <w:tcW w:type="dxa" w:w="212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隔离故障，报警，维持可落位状态</w:t>
            </w:r>
          </w:p>
        </w:tc>
        <w:tc>
          <w:tcPr>
            <w:tcW w:type="dxa" w:w="212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分区压力、支点反力</w:t>
            </w:r>
          </w:p>
        </w:tc>
      </w:tr>
      <w:tr>
        <w:trPr>
          <w:cantSplit w:val="true"/>
        </w:trPr>
        <w:tc>
          <w:tcPr>
            <w:tcW w:type="dxa" w:w="13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FI-03</w:t>
            </w:r>
          </w:p>
        </w:tc>
        <w:tc>
          <w:tcPr>
            <w:tcW w:type="dxa" w:w="17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锁止反馈卡常开</w:t>
            </w:r>
          </w:p>
        </w:tc>
        <w:tc>
          <w:tcPr>
            <w:tcW w:type="dxa" w:w="20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闭合前</w:t>
            </w:r>
          </w:p>
        </w:tc>
        <w:tc>
          <w:tcPr>
            <w:tcW w:type="dxa" w:w="212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不允许提升</w:t>
            </w:r>
          </w:p>
        </w:tc>
        <w:tc>
          <w:tcPr>
            <w:tcW w:type="dxa" w:w="212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输入/输出与报警日志</w:t>
            </w:r>
          </w:p>
        </w:tc>
      </w:tr>
      <w:tr>
        <w:trPr>
          <w:cantSplit w:val="true"/>
        </w:trPr>
        <w:tc>
          <w:tcPr>
            <w:tcW w:type="dxa" w:w="13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FI-04</w:t>
            </w:r>
          </w:p>
        </w:tc>
        <w:tc>
          <w:tcPr>
            <w:tcW w:type="dxa" w:w="17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锁止反馈卡常闭</w:t>
            </w:r>
          </w:p>
        </w:tc>
        <w:tc>
          <w:tcPr>
            <w:tcW w:type="dxa" w:w="20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半锁状态</w:t>
            </w:r>
          </w:p>
        </w:tc>
        <w:tc>
          <w:tcPr>
            <w:tcW w:type="dxa" w:w="212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合理性诊断触发，不允许提升</w:t>
            </w:r>
          </w:p>
        </w:tc>
        <w:tc>
          <w:tcPr>
            <w:tcW w:type="dxa" w:w="212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位置、压力、信号矛盾</w:t>
            </w:r>
          </w:p>
        </w:tc>
      </w:tr>
      <w:tr>
        <w:trPr>
          <w:cantSplit w:val="true"/>
        </w:trPr>
        <w:tc>
          <w:tcPr>
            <w:tcW w:type="dxa" w:w="13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FI-05</w:t>
            </w:r>
          </w:p>
        </w:tc>
        <w:tc>
          <w:tcPr>
            <w:tcW w:type="dxa" w:w="17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释放阀命令粘连</w:t>
            </w:r>
          </w:p>
        </w:tc>
        <w:tc>
          <w:tcPr>
            <w:tcW w:type="dxa" w:w="20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悬空状态</w:t>
            </w:r>
          </w:p>
        </w:tc>
        <w:tc>
          <w:tcPr>
            <w:tcW w:type="dxa" w:w="212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物理或控制层阻止危险释放</w:t>
            </w:r>
          </w:p>
        </w:tc>
        <w:tc>
          <w:tcPr>
            <w:tcW w:type="dxa" w:w="212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阀电流、压力、锁状态</w:t>
            </w:r>
          </w:p>
        </w:tc>
      </w:tr>
      <w:tr>
        <w:trPr>
          <w:cantSplit w:val="true"/>
        </w:trPr>
        <w:tc>
          <w:tcPr>
            <w:tcW w:type="dxa" w:w="13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FI-06</w:t>
            </w:r>
          </w:p>
        </w:tc>
        <w:tc>
          <w:tcPr>
            <w:tcW w:type="dxa" w:w="17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受托信号虚假</w:t>
            </w:r>
          </w:p>
        </w:tc>
        <w:tc>
          <w:tcPr>
            <w:tcW w:type="dxa" w:w="20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未落位</w:t>
            </w:r>
          </w:p>
        </w:tc>
        <w:tc>
          <w:tcPr>
            <w:tcW w:type="dxa" w:w="212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双重/多样性检查拒绝释放</w:t>
            </w:r>
          </w:p>
        </w:tc>
        <w:tc>
          <w:tcPr>
            <w:tcW w:type="dxa" w:w="212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支撑、位置、负载变化</w:t>
            </w:r>
          </w:p>
        </w:tc>
      </w:tr>
      <w:tr>
        <w:trPr>
          <w:cantSplit w:val="true"/>
        </w:trPr>
        <w:tc>
          <w:tcPr>
            <w:tcW w:type="dxa" w:w="13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FI-07</w:t>
            </w:r>
          </w:p>
        </w:tc>
        <w:tc>
          <w:tcPr>
            <w:tcW w:type="dxa" w:w="17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控制器重启/总线丢失</w:t>
            </w:r>
          </w:p>
        </w:tc>
        <w:tc>
          <w:tcPr>
            <w:tcW w:type="dxa" w:w="20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运输中</w:t>
            </w:r>
          </w:p>
        </w:tc>
        <w:tc>
          <w:tcPr>
            <w:tcW w:type="dxa" w:w="212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输出进入定义安全状态，载荷保持</w:t>
            </w:r>
          </w:p>
        </w:tc>
        <w:tc>
          <w:tcPr>
            <w:tcW w:type="dxa" w:w="212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重启时间、输出状态</w:t>
            </w:r>
          </w:p>
        </w:tc>
      </w:tr>
      <w:tr>
        <w:trPr>
          <w:cantSplit w:val="true"/>
        </w:trPr>
        <w:tc>
          <w:tcPr>
            <w:tcW w:type="dxa" w:w="13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FI-08</w:t>
            </w:r>
          </w:p>
        </w:tc>
        <w:tc>
          <w:tcPr>
            <w:tcW w:type="dxa" w:w="17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错误电池型号/配方</w:t>
            </w:r>
          </w:p>
        </w:tc>
        <w:tc>
          <w:tcPr>
            <w:tcW w:type="dxa" w:w="20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取件前</w:t>
            </w:r>
          </w:p>
        </w:tc>
        <w:tc>
          <w:tcPr>
            <w:tcW w:type="dxa" w:w="212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配方不一致，禁止动作</w:t>
            </w:r>
          </w:p>
        </w:tc>
        <w:tc>
          <w:tcPr>
            <w:tcW w:type="dxa" w:w="212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ID、配方版本、CRC/签名</w:t>
            </w:r>
          </w:p>
        </w:tc>
      </w:tr>
      <w:tr>
        <w:trPr>
          <w:cantSplit w:val="true"/>
        </w:trPr>
        <w:tc>
          <w:tcPr>
            <w:tcW w:type="dxa" w:w="13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FI-09</w:t>
            </w:r>
          </w:p>
        </w:tc>
        <w:tc>
          <w:tcPr>
            <w:tcW w:type="dxa" w:w="17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急停</w:t>
            </w:r>
          </w:p>
        </w:tc>
        <w:tc>
          <w:tcPr>
            <w:tcW w:type="dxa" w:w="20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最大合理速度</w:t>
            </w:r>
          </w:p>
        </w:tc>
        <w:tc>
          <w:tcPr>
            <w:tcW w:type="dxa" w:w="212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停止且载荷不释放</w:t>
            </w:r>
          </w:p>
        </w:tc>
        <w:tc>
          <w:tcPr>
            <w:tcW w:type="dxa" w:w="212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峰值加速度、结构/载荷位移</w:t>
            </w:r>
          </w:p>
        </w:tc>
      </w:tr>
      <w:tr>
        <w:trPr>
          <w:cantSplit w:val="true"/>
        </w:trPr>
        <w:tc>
          <w:tcPr>
            <w:tcW w:type="dxa" w:w="13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FI-10</w:t>
            </w:r>
          </w:p>
        </w:tc>
        <w:tc>
          <w:tcPr>
            <w:tcW w:type="dxa" w:w="17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维护释放误操作</w:t>
            </w:r>
          </w:p>
        </w:tc>
        <w:tc>
          <w:tcPr>
            <w:tcW w:type="dxa" w:w="20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未支撑</w:t>
            </w:r>
          </w:p>
        </w:tc>
        <w:tc>
          <w:tcPr>
            <w:tcW w:type="dxa" w:w="212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受权限和机械条件限制</w:t>
            </w:r>
          </w:p>
        </w:tc>
        <w:tc>
          <w:tcPr>
            <w:tcW w:type="dxa" w:w="212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权限、步骤、锁具状态</w:t>
            </w:r>
          </w:p>
        </w:tc>
      </w:tr>
    </w:tbl>
    <w:p>
      <w:pPr>
        <w:spacing w:after="40"/>
      </w:pPr>
    </w:p>
    <w:p>
      <w:pPr/>
      <w:r>
        <w:rPr>
          <w:rFonts w:ascii="Calibri" w:hAnsi="Calibri" w:eastAsia="Microsoft YaHei"/>
          <w:sz w:val="22"/>
        </w:rPr>
        <w:t>每个用例应定义“通过、失败、需工程评审”三种结果。不能只记录最终是否掉落，还应检查峰值位移、锁止变化、报警可见性、恢复是否需要绕过安全功能，以及是否产生电池包隐藏损伤。</w:t>
      </w:r>
    </w:p>
    <w:p>
      <w:pPr>
        <w:pStyle w:val="Heading1"/>
      </w:pPr>
      <w:r>
        <w:rPr>
          <w:rFonts w:ascii="Calibri" w:hAnsi="Calibri" w:eastAsia="Microsoft YaHei"/>
        </w:rPr>
        <w:t>06 验收指标与证据链</w:t>
      </w:r>
    </w:p>
    <w:p>
      <w:pPr/>
      <w:r>
        <w:rPr>
          <w:rFonts w:ascii="Calibri" w:hAnsi="Calibri" w:eastAsia="Microsoft YaHei"/>
          <w:sz w:val="22"/>
        </w:rPr>
        <w:t>项目指标应从风险评估和技术协议导出。常见类别包括额定与最不利载荷、单支点反力、允许壳体变形、保持时间、最大滑移、停止加速度、故障检测时间、报警与复位、释放许可和维护隔离。本文不为这些指标给出通用数值，因为不同电池包、载体和人员暴露条件差异很大。</w:t>
      </w:r>
    </w:p>
    <w:tbl>
      <w:tblPr>
        <w:tblStyle w:val="TableGrid"/>
        <w:tblLook w:firstColumn="1" w:firstRow="1" w:lastColumn="0" w:lastRow="0" w:noHBand="0" w:noVBand="1" w:val="04A0"/>
        <w:tblW w:w="9360" w:type="dxa"/>
        <w:tblInd w:w="12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1800"/>
        <w:gridCol w:w="3480"/>
        <w:gridCol w:w="4080"/>
      </w:tblGrid>
      <w:tr>
        <w:trPr>
          <w:cantSplit w:val="true"/>
          <w:tblHeader w:val="true"/>
        </w:trPr>
        <w:tc>
          <w:tcPr>
            <w:tcW w:type="dxa" w:w="180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证据层</w:t>
            </w:r>
          </w:p>
        </w:tc>
        <w:tc>
          <w:tcPr>
            <w:tcW w:type="dxa" w:w="348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典型文件</w:t>
            </w:r>
          </w:p>
        </w:tc>
        <w:tc>
          <w:tcPr>
            <w:tcW w:type="dxa" w:w="408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质量要求</w:t>
            </w:r>
          </w:p>
        </w:tc>
      </w:tr>
      <w:tr>
        <w:trPr>
          <w:cantSplit w:val="true"/>
        </w:trPr>
        <w:tc>
          <w:tcPr>
            <w:tcW w:type="dxa" w:w="18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需求</w:t>
            </w:r>
          </w:p>
        </w:tc>
        <w:tc>
          <w:tcPr>
            <w:tcW w:type="dxa" w:w="348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安全需求规范、客户接口、产品禁限区</w:t>
            </w:r>
          </w:p>
        </w:tc>
        <w:tc>
          <w:tcPr>
            <w:tcW w:type="dxa" w:w="408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唯一编号、版本和来源</w:t>
            </w:r>
          </w:p>
        </w:tc>
      </w:tr>
      <w:tr>
        <w:trPr>
          <w:cantSplit w:val="true"/>
        </w:trPr>
        <w:tc>
          <w:tcPr>
            <w:tcW w:type="dxa" w:w="18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分析</w:t>
            </w:r>
          </w:p>
        </w:tc>
        <w:tc>
          <w:tcPr>
            <w:tcW w:type="dxa" w:w="348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载荷计算、有限元、FMEA/FTA、PL 评估</w:t>
            </w:r>
          </w:p>
        </w:tc>
        <w:tc>
          <w:tcPr>
            <w:tcW w:type="dxa" w:w="408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假设明确、最不利工况可追溯</w:t>
            </w:r>
          </w:p>
        </w:tc>
      </w:tr>
      <w:tr>
        <w:trPr>
          <w:cantSplit w:val="true"/>
        </w:trPr>
        <w:tc>
          <w:tcPr>
            <w:tcW w:type="dxa" w:w="18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设计</w:t>
            </w:r>
          </w:p>
        </w:tc>
        <w:tc>
          <w:tcPr>
            <w:tcW w:type="dxa" w:w="348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图纸、BOM、气路/电气图、软件版本</w:t>
            </w:r>
          </w:p>
        </w:tc>
        <w:tc>
          <w:tcPr>
            <w:tcW w:type="dxa" w:w="408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与分析和实物一致</w:t>
            </w:r>
          </w:p>
        </w:tc>
      </w:tr>
      <w:tr>
        <w:trPr>
          <w:cantSplit w:val="true"/>
        </w:trPr>
        <w:tc>
          <w:tcPr>
            <w:tcW w:type="dxa" w:w="18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验证</w:t>
            </w:r>
          </w:p>
        </w:tc>
        <w:tc>
          <w:tcPr>
            <w:tcW w:type="dxa" w:w="348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测试计划、原始曲线、照片、日志</w:t>
            </w:r>
          </w:p>
        </w:tc>
        <w:tc>
          <w:tcPr>
            <w:tcW w:type="dxa" w:w="408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注入故障、时间基准和判据完整</w:t>
            </w:r>
          </w:p>
        </w:tc>
      </w:tr>
      <w:tr>
        <w:trPr>
          <w:cantSplit w:val="true"/>
        </w:trPr>
        <w:tc>
          <w:tcPr>
            <w:tcW w:type="dxa" w:w="18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放行</w:t>
            </w:r>
          </w:p>
        </w:tc>
        <w:tc>
          <w:tcPr>
            <w:tcW w:type="dxa" w:w="348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偏差清单、整改闭环、签字与维护要求</w:t>
            </w:r>
          </w:p>
        </w:tc>
        <w:tc>
          <w:tcPr>
            <w:tcW w:type="dxa" w:w="408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未关闭问题有明确限制</w:t>
            </w:r>
          </w:p>
        </w:tc>
      </w:tr>
    </w:tbl>
    <w:p>
      <w:pPr>
        <w:spacing w:after="40"/>
      </w:pPr>
    </w:p>
    <w:p>
      <w:pPr/>
      <w:r>
        <w:rPr>
          <w:rFonts w:ascii="Calibri" w:hAnsi="Calibri" w:eastAsia="Microsoft YaHei"/>
          <w:sz w:val="22"/>
        </w:rPr>
        <w:t>测试信号应使用统一时间基准，以便分析命令、阀动作、压力变化、锁止位移和载体停止之间的因果关系。只保存 HMI 截图不足以支持故障响应验证。</w:t>
      </w:r>
    </w:p>
    <w:p>
      <w:pPr>
        <w:pStyle w:val="Heading1"/>
      </w:pPr>
      <w:r>
        <w:rPr>
          <w:rFonts w:ascii="Calibri" w:hAnsi="Calibri" w:eastAsia="Microsoft YaHei"/>
        </w:rPr>
        <w:t>07 安全恢复、维护与变更管理</w:t>
      </w:r>
    </w:p>
    <w:p>
      <w:pPr/>
      <w:r>
        <w:rPr>
          <w:rFonts w:ascii="Calibri" w:hAnsi="Calibri" w:eastAsia="Microsoft YaHei"/>
          <w:sz w:val="22"/>
        </w:rPr>
        <w:t>异常恢复必须在设计阶段定义。典型步骤包括：停止载体、确认载荷保持、建立临时支撑、隔离能源、消除故障、重新确认锁止、低速落位和复位审批。人员不得站在电池包下方或依靠手动持续托举。若需要人工释放机械锁，应具备工具、权限和受托条件限制。</w:t>
      </w:r>
    </w:p>
    <w:p>
      <w:pPr/>
      <w:r>
        <w:rPr>
          <w:rFonts w:ascii="Calibri" w:hAnsi="Calibri" w:eastAsia="Microsoft YaHei"/>
          <w:sz w:val="22"/>
        </w:rPr>
        <w:t>维护项目包括锁止件磨损、托臂变形、紧固件、软管磨损、阀污染、传感器靶标、线缆弯折、接触垫材料和校准状态。任何电池包质量、重心、壳体结构、允许支撑点、夹具模块、软件配方或载体加速度变化，都应触发影响分析和必要的再验证。</w:t>
      </w:r>
    </w:p>
    <w:p>
      <w:pPr>
        <w:pStyle w:val="Heading1"/>
      </w:pPr>
      <w:r>
        <w:rPr>
          <w:rFonts w:ascii="Calibri" w:hAnsi="Calibri" w:eastAsia="Microsoft YaHei"/>
        </w:rPr>
        <w:t>08 结论与适用限制</w:t>
      </w:r>
    </w:p>
    <w:p>
      <w:pPr/>
      <w:r>
        <w:rPr>
          <w:rFonts w:ascii="Calibri" w:hAnsi="Calibri" w:eastAsia="Microsoft YaHei"/>
          <w:sz w:val="22"/>
        </w:rPr>
        <w:t>动力电池包搬运夹具的失效安全设计，应从结构承力路径开始，再由气动、电气和控制系统提供状态确认、故障诊断和受控释放。安全目标不是故障后维持节拍，而是防止危险释放并把系统带入可安全恢复的状态。故障注入验证必须与需求、FMEA/FTA、控制逻辑和真实结构对应，形成可审计证据链。</w:t>
      </w:r>
    </w:p>
    <w:p>
      <w:pPr/>
      <w:r>
        <w:rPr>
          <w:rFonts w:ascii="Calibri" w:hAnsi="Calibri" w:eastAsia="Microsoft YaHei"/>
          <w:sz w:val="22"/>
        </w:rPr>
        <w:t>本文是工程研究和验证方案，不构成 GB 38031 产品符合性证明、ISO 13849 性能等级认证、第三方检验或客户验收报告。具体项目需由具备能力的专业人员依据适用法规、标准、客户规范和实际风险完成设计与签署。</w:t>
      </w:r>
    </w:p>
    <w:p>
      <w:pPr>
        <w:pStyle w:val="Heading1"/>
        <w:pageBreakBefore/>
      </w:pPr>
      <w:r>
        <w:rPr>
          <w:rFonts w:ascii="Calibri" w:hAnsi="Calibri" w:eastAsia="Microsoft YaHei"/>
        </w:rPr>
        <w:t>参考文献</w:t>
      </w:r>
    </w:p>
    <w:p>
      <w:pPr>
        <w:pStyle w:val="AurekSource"/>
        <w:numPr>
          <w:ilvl w:val="0"/>
          <w:numId w:val="12"/>
        </w:numPr>
      </w:pPr>
      <w:r>
        <w:rPr>
          <w:rFonts w:ascii="Calibri" w:hAnsi="Calibri" w:eastAsia="Microsoft YaHei"/>
          <w:sz w:val="17"/>
        </w:rPr>
        <w:t xml:space="preserve">GB 38031-2025 电动汽车用动力蓄电池安全要求. </w:t>
      </w:r>
      <w:hyperlink r:id="rId12">
        <w:r>
          <w:rPr>
            <w:rFonts w:ascii="Calibri" w:hAnsi="Calibri" w:eastAsia="Microsoft YaHei"/>
            <w:color w:val="2E74B5"/>
            <w:u w:val="single"/>
          </w:rPr>
          <w:t>https://openstd.samr.gov.cn/bzgk/std/newGbInfo?hcno=3AB693FAFF5D9716DF61C61D6FD2187A</w:t>
        </w:r>
      </w:hyperlink>
    </w:p>
    <w:p>
      <w:pPr>
        <w:pStyle w:val="AurekSource"/>
        <w:numPr>
          <w:ilvl w:val="0"/>
          <w:numId w:val="12"/>
        </w:numPr>
      </w:pPr>
      <w:r>
        <w:rPr>
          <w:rFonts w:ascii="Calibri" w:hAnsi="Calibri" w:eastAsia="Microsoft YaHei"/>
          <w:sz w:val="17"/>
        </w:rPr>
        <w:t xml:space="preserve">ISO 13849-1:2023. Safety of machinery - Safety-related parts of control systems - Part 1: General principles for design. </w:t>
      </w:r>
      <w:hyperlink r:id="rId13">
        <w:r>
          <w:rPr>
            <w:rFonts w:ascii="Calibri" w:hAnsi="Calibri" w:eastAsia="Microsoft YaHei"/>
            <w:color w:val="2E74B5"/>
            <w:u w:val="single"/>
          </w:rPr>
          <w:t>https://www.iso.org/standard/73481.html</w:t>
        </w:r>
      </w:hyperlink>
    </w:p>
    <w:p>
      <w:pPr>
        <w:pStyle w:val="AurekSource"/>
        <w:numPr>
          <w:ilvl w:val="0"/>
          <w:numId w:val="12"/>
        </w:numPr>
      </w:pPr>
      <w:r>
        <w:rPr>
          <w:rFonts w:ascii="Calibri" w:hAnsi="Calibri" w:eastAsia="Microsoft YaHei"/>
          <w:sz w:val="17"/>
        </w:rPr>
        <w:t xml:space="preserve">ISO 13849-2:2012. Safety of machinery - Safety-related parts of control systems - Part 2: Validation. </w:t>
      </w:r>
      <w:hyperlink r:id="rId14">
        <w:r>
          <w:rPr>
            <w:rFonts w:ascii="Calibri" w:hAnsi="Calibri" w:eastAsia="Microsoft YaHei"/>
            <w:color w:val="2E74B5"/>
            <w:u w:val="single"/>
          </w:rPr>
          <w:t>https://www.iso.org/standard/53640.html</w:t>
        </w:r>
      </w:hyperlink>
    </w:p>
    <w:p>
      <w:pPr>
        <w:pStyle w:val="AurekSource"/>
        <w:numPr>
          <w:ilvl w:val="0"/>
          <w:numId w:val="12"/>
        </w:numPr>
      </w:pPr>
      <w:r>
        <w:rPr>
          <w:rFonts w:ascii="Calibri" w:hAnsi="Calibri" w:eastAsia="Microsoft YaHei"/>
          <w:sz w:val="17"/>
        </w:rPr>
        <w:t xml:space="preserve">ISO 12100:2010. Safety of machinery - General principles for design - Risk assessment and risk reduction. </w:t>
      </w:r>
      <w:hyperlink r:id="rId15">
        <w:r>
          <w:rPr>
            <w:rFonts w:ascii="Calibri" w:hAnsi="Calibri" w:eastAsia="Microsoft YaHei"/>
            <w:color w:val="2E74B5"/>
            <w:u w:val="single"/>
          </w:rPr>
          <w:t>https://www.iso.org/standard/51528.html</w:t>
        </w:r>
      </w:hyperlink>
    </w:p>
    <w:p>
      <w:pPr>
        <w:pStyle w:val="AurekSource"/>
        <w:numPr>
          <w:ilvl w:val="0"/>
          <w:numId w:val="12"/>
        </w:numPr>
      </w:pPr>
      <w:r>
        <w:rPr>
          <w:rFonts w:ascii="Calibri" w:hAnsi="Calibri" w:eastAsia="Microsoft YaHei"/>
          <w:sz w:val="17"/>
        </w:rPr>
        <w:t xml:space="preserve">ISO/TR 20218-1:2018. Robotics - Safety design for industrial robot systems - Part 1: End-effectors. </w:t>
      </w:r>
      <w:hyperlink r:id="rId16">
        <w:r>
          <w:rPr>
            <w:rFonts w:ascii="Calibri" w:hAnsi="Calibri" w:eastAsia="Microsoft YaHei"/>
            <w:color w:val="2E74B5"/>
            <w:u w:val="single"/>
          </w:rPr>
          <w:t>https://www.iso.org/standard/69488.html</w:t>
        </w:r>
      </w:hyperlink>
    </w:p>
    <w:p>
      <w:pPr>
        <w:pStyle w:val="AurekSource"/>
        <w:numPr>
          <w:ilvl w:val="0"/>
          <w:numId w:val="12"/>
        </w:numPr>
      </w:pPr>
      <w:r>
        <w:rPr>
          <w:rFonts w:ascii="Calibri" w:hAnsi="Calibri" w:eastAsia="Microsoft YaHei"/>
          <w:sz w:val="17"/>
        </w:rPr>
        <w:t xml:space="preserve">ISO 4414:2010. Pneumatic fluid power - General rules and safety requirements for systems and their components. </w:t>
      </w:r>
      <w:hyperlink r:id="rId17">
        <w:r>
          <w:rPr>
            <w:rFonts w:ascii="Calibri" w:hAnsi="Calibri" w:eastAsia="Microsoft YaHei"/>
            <w:color w:val="2E74B5"/>
            <w:u w:val="single"/>
          </w:rPr>
          <w:t>https://www.iso.org/standard/44790.html</w:t>
        </w:r>
      </w:hyperlink>
    </w:p>
    <w:p>
      <w:pPr>
        <w:pStyle w:val="AurekSource"/>
        <w:numPr>
          <w:ilvl w:val="0"/>
          <w:numId w:val="12"/>
        </w:numPr>
      </w:pPr>
      <w:r>
        <w:rPr>
          <w:rFonts w:ascii="Calibri" w:hAnsi="Calibri" w:eastAsia="Microsoft YaHei"/>
          <w:sz w:val="17"/>
        </w:rPr>
        <w:t xml:space="preserve">ISO/TR 14121-2:2012. Safety of machinery - Risk assessment - Part 2: Practical guidance and examples of methods. </w:t>
      </w:r>
      <w:hyperlink r:id="rId18">
        <w:r>
          <w:rPr>
            <w:rFonts w:ascii="Calibri" w:hAnsi="Calibri" w:eastAsia="Microsoft YaHei"/>
            <w:color w:val="2E74B5"/>
            <w:u w:val="single"/>
          </w:rPr>
          <w:t>https://www.iso.org/standard/57180.html</w:t>
        </w:r>
      </w:hyperlink>
    </w:p>
    <w:p>
      <w:pPr>
        <w:pStyle w:val="AurekSource"/>
        <w:numPr>
          <w:ilvl w:val="0"/>
          <w:numId w:val="12"/>
        </w:numPr>
      </w:pPr>
      <w:r>
        <w:rPr>
          <w:rFonts w:ascii="Calibri" w:hAnsi="Calibri" w:eastAsia="Microsoft YaHei"/>
          <w:sz w:val="17"/>
        </w:rPr>
        <w:t xml:space="preserve">U.S. Department of Transportation / NHTSA. Safety Management of Automotive Rechargeable Energy Storage Systems. </w:t>
      </w:r>
      <w:hyperlink r:id="rId19">
        <w:r>
          <w:rPr>
            <w:rFonts w:ascii="Calibri" w:hAnsi="Calibri" w:eastAsia="Microsoft YaHei"/>
            <w:color w:val="2E74B5"/>
            <w:u w:val="single"/>
          </w:rPr>
          <w:t>https://rosap.ntl.bts.gov/view/dot/38221/dot_38221_DS1.pdf</w:t>
        </w:r>
      </w:hyperlink>
    </w:p>
    <w:p>
      <w:pPr>
        <w:pStyle w:val="AurekSource"/>
        <w:numPr>
          <w:ilvl w:val="0"/>
          <w:numId w:val="12"/>
        </w:numPr>
      </w:pPr>
      <w:r>
        <w:rPr>
          <w:rFonts w:ascii="Calibri" w:hAnsi="Calibri" w:eastAsia="Microsoft YaHei"/>
          <w:sz w:val="17"/>
        </w:rPr>
        <w:t xml:space="preserve">Held, M.; Bronnimann, R. Safe cell, safe battery? Battery fire investigation using FMEA, FTA and practical experiments. Microelectronics Reliability 64, 2016. </w:t>
      </w:r>
      <w:hyperlink r:id="rId20">
        <w:r>
          <w:rPr>
            <w:rFonts w:ascii="Calibri" w:hAnsi="Calibri" w:eastAsia="Microsoft YaHei"/>
            <w:color w:val="2E74B5"/>
            <w:u w:val="single"/>
          </w:rPr>
          <w:t>https://doi.org/10.1016/j.microrel.2016.07.051</w:t>
        </w:r>
      </w:hyperlink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/>
      <w:jc w:val="right"/>
    </w:pPr>
    <w:r>
      <w:rPr>
        <w:rFonts w:ascii="Calibri" w:hAnsi="Calibri" w:eastAsia="Microsoft YaHei"/>
        <w:color w:val="5D6670"/>
        <w:sz w:val="17"/>
      </w:rPr>
      <w:t xml:space="preserve">PAGE </w:t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9360" w:val="left"/>
      </w:tabs>
      <w:spacing w:after="0"/>
      <w:jc w:val="left"/>
    </w:pPr>
    <w:r>
      <w:rPr>
        <w:rFonts w:ascii="Calibri" w:hAnsi="Calibri" w:eastAsia="Microsoft YaHei"/>
        <w:b/>
        <w:color w:val="5D6670"/>
        <w:sz w:val="16"/>
      </w:rPr>
      <w:t>AUREK TECHNICAL RESEARCH</w:t>
    </w:r>
    <w:r>
      <w:tab/>
    </w:r>
    <w:r>
      <w:rPr>
        <w:rFonts w:ascii="Calibri" w:hAnsi="Calibri" w:eastAsia="Microsoft YaHei"/>
        <w:color w:val="5D6670"/>
        <w:sz w:val="16"/>
      </w:rPr>
      <w:t>AUREK-RC-AR-039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suff w:val="tab"/>
      <w:pPr>
        <w:tabs>
          <w:tab w:val="num" w:pos="720"/>
        </w:tabs>
        <w:ind w:left="720" w:hanging="360"/>
        <w:spacing w:after="160" w:line="280" w:lineRule="auto"/>
      </w:pPr>
      <w:rPr>
        <w:rFonts w:ascii="Arial" w:hAnsi="Arial"/>
      </w:rPr>
    </w:lvl>
  </w:abstractNum>
  <w:abstractNum w:abstractNumId="10">
    <w:multiLevelType w:val="singleLevel"/>
    <w:lvl w:ilvl="0">
      <w:start w:val="1"/>
      <w:numFmt w:val="decimal"/>
      <w:lvlText w:val="%1."/>
      <w:suff w:val="tab"/>
      <w:pPr>
        <w:tabs>
          <w:tab w:val="num" w:pos="720"/>
        </w:tabs>
        <w:ind w:left="720" w:hanging="360"/>
        <w:spacing w:after="160" w:line="280" w:lineRule="auto"/>
      </w:pPr>
    </w:lvl>
  </w:abstractNum>
  <w:num w:numId="10">
    <w:abstractNumId w:val="9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widowControl/>
      <w:spacing w:before="0" w:after="120" w:line="264" w:lineRule="auto"/>
    </w:pPr>
    <w:rPr>
      <w:rFonts w:ascii="Calibri" w:hAnsi="Calibri" w:eastAsia="Microsoft YaHei"/>
      <w:b w:val="0"/>
      <w:color w:val="22262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Calibri" w:hAnsi="Calibri" w:eastAsia="Microsoft YaHe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 w:eastAsia="Microsoft YaHe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 w:eastAsia="Microsoft YaHe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urekContents">
    <w:name w:val="Aurek Contents"/>
    <w:basedOn w:val="Normal"/>
    <w:pPr>
      <w:spacing w:after="120" w:line="264" w:lineRule="auto"/>
    </w:pPr>
    <w:rPr>
      <w:rFonts w:ascii="Calibri" w:hAnsi="Calibri" w:eastAsia="Microsoft YaHei"/>
      <w:b w:val="0"/>
      <w:color w:val="5D6670"/>
      <w:sz w:val="21"/>
    </w:rPr>
  </w:style>
  <w:style w:type="paragraph" w:customStyle="1" w:styleId="AurekTable">
    <w:name w:val="Aurek Table"/>
    <w:basedOn w:val="Normal"/>
    <w:pPr>
      <w:spacing w:after="120" w:line="264" w:lineRule="auto"/>
    </w:pPr>
    <w:rPr>
      <w:rFonts w:ascii="Calibri" w:hAnsi="Calibri" w:eastAsia="Microsoft YaHei"/>
      <w:b w:val="0"/>
      <w:color w:val="22262A"/>
      <w:sz w:val="18"/>
    </w:rPr>
  </w:style>
  <w:style w:type="paragraph" w:customStyle="1" w:styleId="AurekEquation">
    <w:name w:val="Aurek Equation"/>
    <w:basedOn w:val="Normal"/>
    <w:pPr>
      <w:spacing w:after="120" w:line="264" w:lineRule="auto"/>
    </w:pPr>
    <w:rPr>
      <w:rFonts w:ascii="Calibri" w:hAnsi="Calibri" w:eastAsia="Microsoft YaHei"/>
      <w:b w:val="0"/>
      <w:color w:val="203748"/>
      <w:sz w:val="19"/>
    </w:rPr>
  </w:style>
  <w:style w:type="paragraph" w:customStyle="1" w:styleId="AurekSource">
    <w:name w:val="Aurek Source"/>
    <w:basedOn w:val="Normal"/>
    <w:pPr>
      <w:spacing w:after="120" w:line="264" w:lineRule="auto"/>
    </w:pPr>
    <w:rPr>
      <w:rFonts w:ascii="Calibri" w:hAnsi="Calibri" w:eastAsia="Microsoft YaHei"/>
      <w:b w:val="0"/>
      <w:color w:val="5D6670"/>
      <w:sz w:val="17"/>
    </w:rPr>
  </w:style>
  <w:style w:type="paragraph" w:customStyle="1" w:styleId="AurekCallout">
    <w:name w:val="Aurek Callout"/>
    <w:basedOn w:val="Normal"/>
    <w:pPr>
      <w:spacing w:after="120" w:line="264" w:lineRule="auto"/>
    </w:pPr>
    <w:rPr>
      <w:rFonts w:ascii="Calibri" w:hAnsi="Calibri" w:eastAsia="Microsoft YaHei"/>
      <w:b w:val="0"/>
      <w:color w:val="203748"/>
      <w:sz w:val="20"/>
    </w:rPr>
  </w:style>
  <w:style w:type="paragraph" w:customStyle="1" w:styleId="AurekList">
    <w:name w:val="Aurek List"/>
    <w:basedOn w:val="Normal"/>
    <w:pPr>
      <w:spacing w:after="120" w:line="280" w:lineRule="auto"/>
    </w:pPr>
    <w:rPr>
      <w:rFonts w:ascii="Calibri" w:hAnsi="Calibri" w:eastAsia="Microsoft YaHei"/>
      <w:b w:val="0"/>
      <w:color w:val="22262A"/>
      <w:sz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Relationship Id="rId12" Type="http://schemas.openxmlformats.org/officeDocument/2006/relationships/hyperlink" Target="https://openstd.samr.gov.cn/bzgk/std/newGbInfo?hcno=3AB693FAFF5D9716DF61C61D6FD2187A" TargetMode="External"/><Relationship Id="rId13" Type="http://schemas.openxmlformats.org/officeDocument/2006/relationships/hyperlink" Target="https://www.iso.org/standard/73481.html" TargetMode="External"/><Relationship Id="rId14" Type="http://schemas.openxmlformats.org/officeDocument/2006/relationships/hyperlink" Target="https://www.iso.org/standard/53640.html" TargetMode="External"/><Relationship Id="rId15" Type="http://schemas.openxmlformats.org/officeDocument/2006/relationships/hyperlink" Target="https://www.iso.org/standard/51528.html" TargetMode="External"/><Relationship Id="rId16" Type="http://schemas.openxmlformats.org/officeDocument/2006/relationships/hyperlink" Target="https://www.iso.org/standard/69488.html" TargetMode="External"/><Relationship Id="rId17" Type="http://schemas.openxmlformats.org/officeDocument/2006/relationships/hyperlink" Target="https://www.iso.org/standard/44790.html" TargetMode="External"/><Relationship Id="rId18" Type="http://schemas.openxmlformats.org/officeDocument/2006/relationships/hyperlink" Target="https://www.iso.org/standard/57180.html" TargetMode="External"/><Relationship Id="rId19" Type="http://schemas.openxmlformats.org/officeDocument/2006/relationships/hyperlink" Target="https://rosap.ntl.bts.gov/view/dot/38221/dot_38221_DS1.pdf" TargetMode="External"/><Relationship Id="rId20" Type="http://schemas.openxmlformats.org/officeDocument/2006/relationships/hyperlink" Target="https://doi.org/10.1016/j.microrel.2016.07.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动力电池包搬运夹具失效安全设计与故障注入验证研究</dc:title>
  <dc:subject>汽车行业助力搬运与非标夹具工程研究</dc:subject>
  <dc:creator>江苏安睿克智能科技有限公司</dc:creator>
  <cp:keywords>动力电池包,失效安全,故障注入,安全释放,ISO 13849</cp:keywords>
  <dc:description>公开资料研究与工程验证方法；非产品认证或客户验收证明。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