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120" w:after="600"/>
        <w:jc w:val="center"/>
      </w:pPr>
      <w:r>
        <w:drawing>
          <wp:inline xmlns:a="http://schemas.openxmlformats.org/drawingml/2006/main" xmlns:pic="http://schemas.openxmlformats.org/drawingml/2006/picture">
            <wp:extent cx="1691640" cy="592074"/>
            <wp:docPr id="1" name="Picture 1"/>
            <wp:cNvGraphicFramePr>
              <a:graphicFrameLocks noChangeAspect="1"/>
            </wp:cNvGraphicFramePr>
            <a:graphic>
              <a:graphicData uri="http://schemas.openxmlformats.org/drawingml/2006/picture">
                <pic:pic>
                  <pic:nvPicPr>
                    <pic:cNvPr id="0" name="aurek-logo-full.png"/>
                    <pic:cNvPicPr/>
                  </pic:nvPicPr>
                  <pic:blipFill>
                    <a:blip r:embed="rId11"/>
                    <a:stretch>
                      <a:fillRect/>
                    </a:stretch>
                  </pic:blipFill>
                  <pic:spPr>
                    <a:xfrm>
                      <a:off x="0" y="0"/>
                      <a:ext cx="1691640" cy="592074"/>
                    </a:xfrm>
                    <a:prstGeom prst="rect"/>
                  </pic:spPr>
                </pic:pic>
              </a:graphicData>
            </a:graphic>
          </wp:inline>
        </w:drawing>
      </w:r>
    </w:p>
    <w:p>
      <w:pPr>
        <w:spacing w:after="280"/>
        <w:jc w:val="center"/>
      </w:pPr>
      <w:r>
        <w:rPr>
          <w:rFonts w:ascii="Calibri" w:hAnsi="Calibri" w:eastAsia="Microsoft YaHei"/>
          <w:b/>
          <w:color w:val="B78727"/>
          <w:sz w:val="20"/>
        </w:rPr>
        <w:t>ENGINEERING RESEARCH REPORT · 工程研究报告</w:t>
      </w:r>
    </w:p>
    <w:p>
      <w:pPr>
        <w:keepLines/>
        <w:spacing w:after="280"/>
        <w:jc w:val="center"/>
      </w:pPr>
      <w:r>
        <w:rPr>
          <w:rFonts w:ascii="Calibri" w:hAnsi="Calibri" w:eastAsia="Microsoft YaHei"/>
          <w:b/>
          <w:color w:val="203748"/>
          <w:sz w:val="50"/>
        </w:rPr>
        <w:t>多车型共线搬运夹具模块化快换与防错方法研究</w:t>
      </w:r>
    </w:p>
    <w:p>
      <w:pPr>
        <w:spacing w:after="840"/>
        <w:jc w:val="center"/>
      </w:pPr>
      <w:r>
        <w:rPr>
          <w:rFonts w:ascii="Calibri" w:hAnsi="Calibri" w:eastAsia="Microsoft YaHei"/>
          <w:color w:val="5D6670"/>
          <w:sz w:val="23"/>
        </w:rPr>
        <w:t>面向汽车行业助力搬运与非标夹具的公开资料研究、工程推导与验证方法</w:t>
      </w:r>
    </w:p>
    <w:p>
      <w:pPr>
        <w:spacing w:after="60"/>
        <w:jc w:val="center"/>
      </w:pPr>
      <w:r>
        <w:rPr>
          <w:rFonts w:ascii="Calibri" w:hAnsi="Calibri" w:eastAsia="Microsoft YaHei"/>
          <w:b/>
          <w:color w:val="5D6670"/>
          <w:sz w:val="20"/>
        </w:rPr>
        <w:t xml:space="preserve">文件编号  </w:t>
      </w:r>
      <w:r>
        <w:rPr>
          <w:rFonts w:ascii="Calibri" w:hAnsi="Calibri" w:eastAsia="Microsoft YaHei"/>
          <w:color w:val="203748"/>
          <w:sz w:val="20"/>
        </w:rPr>
        <w:t>AUREK-RC-AR-040</w:t>
      </w:r>
    </w:p>
    <w:p>
      <w:pPr>
        <w:spacing w:after="60"/>
        <w:jc w:val="center"/>
      </w:pPr>
      <w:r>
        <w:rPr>
          <w:rFonts w:ascii="Calibri" w:hAnsi="Calibri" w:eastAsia="Microsoft YaHei"/>
          <w:b/>
          <w:color w:val="5D6670"/>
          <w:sz w:val="20"/>
        </w:rPr>
        <w:t xml:space="preserve">版本  </w:t>
      </w:r>
      <w:r>
        <w:rPr>
          <w:rFonts w:ascii="Calibri" w:hAnsi="Calibri" w:eastAsia="Microsoft YaHei"/>
          <w:color w:val="203748"/>
          <w:sz w:val="20"/>
        </w:rPr>
        <w:t>V1.0</w:t>
      </w:r>
    </w:p>
    <w:p>
      <w:pPr>
        <w:spacing w:after="60"/>
        <w:jc w:val="center"/>
      </w:pPr>
      <w:r>
        <w:rPr>
          <w:rFonts w:ascii="Calibri" w:hAnsi="Calibri" w:eastAsia="Microsoft YaHei"/>
          <w:b/>
          <w:color w:val="5D6670"/>
          <w:sz w:val="20"/>
        </w:rPr>
        <w:t xml:space="preserve">发布日期  </w:t>
      </w:r>
      <w:r>
        <w:rPr>
          <w:rFonts w:ascii="Calibri" w:hAnsi="Calibri" w:eastAsia="Microsoft YaHei"/>
          <w:color w:val="203748"/>
          <w:sz w:val="20"/>
        </w:rPr>
        <w:t>2026-07-13</w:t>
      </w:r>
    </w:p>
    <w:p>
      <w:pPr>
        <w:spacing w:after="60"/>
        <w:jc w:val="center"/>
      </w:pPr>
      <w:r>
        <w:rPr>
          <w:rFonts w:ascii="Calibri" w:hAnsi="Calibri" w:eastAsia="Microsoft YaHei"/>
          <w:b/>
          <w:color w:val="5D6670"/>
          <w:sz w:val="20"/>
        </w:rPr>
        <w:t xml:space="preserve">发布单位  </w:t>
      </w:r>
      <w:r>
        <w:rPr>
          <w:rFonts w:ascii="Calibri" w:hAnsi="Calibri" w:eastAsia="Microsoft YaHei"/>
          <w:color w:val="203748"/>
          <w:sz w:val="20"/>
        </w:rPr>
        <w:t>江苏安睿克智能科技有限公司</w:t>
      </w:r>
    </w:p>
    <w:p>
      <w:pPr>
        <w:spacing w:before="720" w:after="0"/>
        <w:jc w:val="center"/>
      </w:pPr>
      <w:r>
        <w:rPr>
          <w:rFonts w:ascii="Calibri" w:hAnsi="Calibri" w:eastAsia="Microsoft YaHei"/>
          <w:b/>
          <w:color w:val="8A5C16"/>
          <w:sz w:val="18"/>
        </w:rPr>
        <w:t>研究与验证方法文件 · 非产品认证 / 非客户验收证明</w:t>
      </w:r>
    </w:p>
    <w:p>
      <w:r>
        <w:br w:type="page"/>
      </w:r>
    </w:p>
    <w:p>
      <w:pPr>
        <w:pStyle w:val="Heading1"/>
        <w:spacing w:before="0"/>
      </w:pPr>
      <w:r>
        <w:t>报告结构</w:t>
      </w:r>
    </w:p>
    <w:p>
      <w:pPr>
        <w:pStyle w:val="AurekContents"/>
        <w:ind w:left="259"/>
      </w:pPr>
      <w:r>
        <w:rPr>
          <w:rFonts w:ascii="Calibri" w:hAnsi="Calibri" w:eastAsia="Microsoft YaHei"/>
          <w:b/>
          <w:color w:val="203748"/>
          <w:sz w:val="21"/>
        </w:rPr>
        <w:t>00 执行摘要</w:t>
      </w:r>
    </w:p>
    <w:p>
      <w:pPr>
        <w:pStyle w:val="AurekContents"/>
        <w:ind w:left="259"/>
      </w:pPr>
      <w:r>
        <w:rPr>
          <w:rFonts w:ascii="Calibri" w:hAnsi="Calibri" w:eastAsia="Microsoft YaHei"/>
          <w:b w:val="0"/>
          <w:color w:val="203748"/>
          <w:sz w:val="21"/>
        </w:rPr>
        <w:t>01 问题定义与模块化边界</w:t>
      </w:r>
    </w:p>
    <w:p>
      <w:pPr>
        <w:pStyle w:val="AurekContents"/>
        <w:ind w:left="259"/>
      </w:pPr>
      <w:r>
        <w:rPr>
          <w:rFonts w:ascii="Calibri" w:hAnsi="Calibri" w:eastAsia="Microsoft YaHei"/>
          <w:b w:val="0"/>
          <w:color w:val="203748"/>
          <w:sz w:val="21"/>
        </w:rPr>
        <w:t>02 快换接口的机械与载荷设计</w:t>
      </w:r>
    </w:p>
    <w:p>
      <w:pPr>
        <w:pStyle w:val="AurekContents"/>
        <w:ind w:left="259"/>
      </w:pPr>
      <w:r>
        <w:rPr>
          <w:rFonts w:ascii="Calibri" w:hAnsi="Calibri" w:eastAsia="Microsoft YaHei"/>
          <w:b w:val="0"/>
          <w:color w:val="203748"/>
          <w:sz w:val="21"/>
        </w:rPr>
        <w:t>03 介质、信号与工具识别</w:t>
      </w:r>
    </w:p>
    <w:p>
      <w:pPr>
        <w:pStyle w:val="AurekContents"/>
        <w:ind w:left="259"/>
      </w:pPr>
      <w:r>
        <w:rPr>
          <w:rFonts w:ascii="Calibri" w:hAnsi="Calibri" w:eastAsia="Microsoft YaHei"/>
          <w:b w:val="0"/>
          <w:color w:val="203748"/>
          <w:sz w:val="21"/>
        </w:rPr>
        <w:t>04 防错链：从生产计划到动作许可</w:t>
      </w:r>
    </w:p>
    <w:p>
      <w:pPr>
        <w:pStyle w:val="AurekContents"/>
        <w:ind w:left="259"/>
      </w:pPr>
      <w:r>
        <w:rPr>
          <w:rFonts w:ascii="Calibri" w:hAnsi="Calibri" w:eastAsia="Microsoft YaHei"/>
          <w:b w:val="0"/>
          <w:color w:val="203748"/>
          <w:sz w:val="21"/>
        </w:rPr>
        <w:t>05 换型状态机与安全控制</w:t>
      </w:r>
    </w:p>
    <w:p>
      <w:pPr>
        <w:pStyle w:val="AurekContents"/>
        <w:ind w:left="259"/>
      </w:pPr>
      <w:r>
        <w:rPr>
          <w:rFonts w:ascii="Calibri" w:hAnsi="Calibri" w:eastAsia="Microsoft YaHei"/>
          <w:b w:val="0"/>
          <w:color w:val="203748"/>
          <w:sz w:val="21"/>
        </w:rPr>
        <w:t>06 节拍、可用率与模块数量优化</w:t>
      </w:r>
    </w:p>
    <w:p>
      <w:pPr>
        <w:pStyle w:val="AurekContents"/>
        <w:ind w:left="259"/>
      </w:pPr>
      <w:r>
        <w:rPr>
          <w:rFonts w:ascii="Calibri" w:hAnsi="Calibri" w:eastAsia="Microsoft YaHei"/>
          <w:b w:val="0"/>
          <w:color w:val="203748"/>
          <w:sz w:val="21"/>
        </w:rPr>
        <w:t>07 验证矩阵与 FMEA</w:t>
      </w:r>
    </w:p>
    <w:p>
      <w:pPr>
        <w:pStyle w:val="AurekContents"/>
        <w:ind w:left="259"/>
      </w:pPr>
      <w:r>
        <w:rPr>
          <w:rFonts w:ascii="Calibri" w:hAnsi="Calibri" w:eastAsia="Microsoft YaHei"/>
          <w:b w:val="0"/>
          <w:color w:val="203748"/>
          <w:sz w:val="21"/>
        </w:rPr>
        <w:t>08 实施路线与结论</w:t>
      </w:r>
    </w:p>
    <w:p>
      <w:pPr>
        <w:pStyle w:val="AurekContents"/>
        <w:ind w:left="259"/>
      </w:pPr>
      <w:r>
        <w:rPr>
          <w:rFonts w:ascii="Calibri" w:hAnsi="Calibri" w:eastAsia="Microsoft YaHei"/>
          <w:b w:val="0"/>
          <w:color w:val="203748"/>
          <w:sz w:val="21"/>
        </w:rPr>
        <w:t>参考文献</w:t>
      </w:r>
    </w:p>
    <w:p>
      <w:pPr>
        <w:pStyle w:val="AurekCallout"/>
        <w:spacing w:before="120" w:after="160"/>
        <w:ind w:left="259" w:right="173"/>
        <w:shd w:fill="F4F6F9"/>
        <w:pBdr>
          <w:left w:val="single" w:sz="18" w:space="8" w:color="B78727"/>
        </w:pBdr>
      </w:pPr>
      <w:r>
        <w:rPr>
          <w:rFonts w:ascii="Calibri" w:hAnsi="Calibri" w:eastAsia="Microsoft YaHei"/>
          <w:b/>
          <w:color w:val="203748"/>
          <w:sz w:val="20"/>
        </w:rPr>
        <w:t xml:space="preserve">研究边界  </w:t>
      </w:r>
      <w:r>
        <w:rPr>
          <w:rFonts w:ascii="Calibri" w:hAnsi="Calibri" w:eastAsia="Microsoft YaHei"/>
          <w:sz w:val="20"/>
        </w:rPr>
        <w:t>正文中的标准、论文与供应商资料用于支持方法框架；示例计算均带有假设。项目应用必须补充真实工件、夹具、动作曲线、风险评估与原始测试证据。</w:t>
      </w:r>
    </w:p>
    <w:p>
      <w:r>
        <w:br w:type="page"/>
      </w:r>
    </w:p>
    <w:p>
      <w:pPr>
        <w:pStyle w:val="AurekCallout"/>
        <w:spacing w:before="120" w:after="160"/>
        <w:ind w:left="259" w:right="173"/>
        <w:shd w:fill="F4F6F9"/>
        <w:pBdr>
          <w:left w:val="single" w:sz="18" w:space="8" w:color="B78727"/>
        </w:pBdr>
      </w:pPr>
      <w:r>
        <w:rPr>
          <w:rFonts w:ascii="Calibri" w:hAnsi="Calibri" w:eastAsia="Microsoft YaHei"/>
          <w:b/>
          <w:color w:val="203748"/>
          <w:sz w:val="20"/>
        </w:rPr>
        <w:t xml:space="preserve">研究边界  </w:t>
      </w:r>
      <w:r>
        <w:rPr>
          <w:rFonts w:ascii="Calibri" w:hAnsi="Calibri" w:eastAsia="Microsoft YaHei"/>
          <w:sz w:val="20"/>
        </w:rPr>
        <w:t>文档属性：公开资料研究与工程设计方法。本文给出的接口、编码和验证示例不代表任何具体快换产品或生产线已经通过安全认证或节拍验收。</w:t>
      </w:r>
    </w:p>
    <w:p>
      <w:pPr>
        <w:pStyle w:val="Heading1"/>
      </w:pPr>
      <w:r>
        <w:rPr>
          <w:rFonts w:ascii="Calibri" w:hAnsi="Calibri" w:eastAsia="Microsoft YaHei"/>
        </w:rPr>
        <w:t>00 执行摘要</w:t>
      </w:r>
    </w:p>
    <w:p>
      <w:pPr/>
      <w:r>
        <w:rPr>
          <w:rFonts w:ascii="Calibri" w:hAnsi="Calibri" w:eastAsia="Microsoft YaHei"/>
          <w:sz w:val="22"/>
        </w:rPr>
        <w:t>多车型共线生产要求搬运系统在零件几何、质量、重心、接触区和工艺姿态变化时快速切换。将所有功能叠加到一套“万能夹具”上，往往导致末端过重、包络过大、维护复杂和异常模式增多；完全独立的多套设备则增加投资和占地。更可控的方法是把系统分为共用承载本体、标准化接口、车型功能模块、存放站和配方控制五层，并为每一层建立机械、电气、气动/真空与信息防错。</w:t>
      </w:r>
    </w:p>
    <w:p>
      <w:pPr/>
      <w:r>
        <w:rPr>
          <w:rFonts w:ascii="Calibri" w:hAnsi="Calibri" w:eastAsia="Microsoft YaHei"/>
          <w:sz w:val="22"/>
        </w:rPr>
        <w:t>汽车装配系统的可重构研究强调通过模块选择、系统集成和重构策略应对产品与产量变化[1]；自动末端交换系统已有 ISO 11593:2022 的术语框架[2]，机械法兰可参考 ISO 9409-1:2004 的尺寸与标记要求，但该标准明确不规定快换装置的其他要求或负载能力[3]。因此，采用标准法兰并不自动意味着快换系统安全、刚度或承载合格。</w:t>
      </w:r>
    </w:p>
    <w:p>
      <w:pPr/>
      <w:r>
        <w:rPr>
          <w:rFonts w:ascii="Calibri" w:hAnsi="Calibri" w:eastAsia="Microsoft YaHei"/>
          <w:b/>
          <w:color w:val="203748"/>
          <w:sz w:val="22"/>
        </w:rPr>
        <w:t>核心结论</w:t>
      </w:r>
    </w:p>
    <w:p>
      <w:pPr>
        <w:pStyle w:val="AurekList"/>
        <w:numPr>
          <w:ilvl w:val="0"/>
          <w:numId w:val="10"/>
        </w:numPr>
      </w:pPr>
      <w:r>
        <w:rPr>
          <w:rFonts w:ascii="Calibri" w:hAnsi="Calibri" w:eastAsia="Microsoft YaHei"/>
          <w:sz w:val="21"/>
        </w:rPr>
        <w:t>模块化边界应由零件族、功能差异、载荷包络和维护策略共同决定，不以“模块越多越先进”为目标。</w:t>
      </w:r>
    </w:p>
    <w:p>
      <w:pPr>
        <w:pStyle w:val="AurekList"/>
        <w:numPr>
          <w:ilvl w:val="0"/>
          <w:numId w:val="10"/>
        </w:numPr>
      </w:pPr>
      <w:r>
        <w:rPr>
          <w:rFonts w:ascii="Calibri" w:hAnsi="Calibri" w:eastAsia="Microsoft YaHei"/>
          <w:sz w:val="21"/>
        </w:rPr>
        <w:t>快换接口必须同时验证定位、锁紧、载荷、刚度、介质传递、锁/解锁反馈和工具存在；单一“已锁”信号不足以覆盖所有错误。</w:t>
      </w:r>
    </w:p>
    <w:p>
      <w:pPr>
        <w:pStyle w:val="AurekList"/>
        <w:numPr>
          <w:ilvl w:val="0"/>
          <w:numId w:val="10"/>
        </w:numPr>
      </w:pPr>
      <w:r>
        <w:rPr>
          <w:rFonts w:ascii="Calibri" w:hAnsi="Calibri" w:eastAsia="Microsoft YaHei"/>
          <w:sz w:val="21"/>
        </w:rPr>
        <w:t>防错要覆盖计划车型、实际工件、已安装工具、控制配方和存放位置五者一致性，并对传感器故障和人工绕过保持保守。</w:t>
      </w:r>
    </w:p>
    <w:p>
      <w:pPr>
        <w:pStyle w:val="AurekList"/>
        <w:numPr>
          <w:ilvl w:val="0"/>
          <w:numId w:val="10"/>
        </w:numPr>
      </w:pPr>
      <w:r>
        <w:rPr>
          <w:rFonts w:ascii="Calibri" w:hAnsi="Calibri" w:eastAsia="Microsoft YaHei"/>
          <w:sz w:val="21"/>
        </w:rPr>
        <w:t>解锁必须受工具已安全入站、载荷已卸除、运动停止和权限有效等条件约束。</w:t>
      </w:r>
    </w:p>
    <w:p>
      <w:pPr>
        <w:pStyle w:val="AurekList"/>
        <w:numPr>
          <w:ilvl w:val="0"/>
          <w:numId w:val="10"/>
        </w:numPr>
      </w:pPr>
      <w:r>
        <w:rPr>
          <w:rFonts w:ascii="Calibri" w:hAnsi="Calibri" w:eastAsia="Microsoft YaHei"/>
          <w:sz w:val="21"/>
        </w:rPr>
        <w:t>节拍评价应同时计算单件循环时间、换型时间、首件确认和异常恢复，不应通过取消必要确认来获得表面上的快换速度。</w:t>
      </w:r>
    </w:p>
    <w:p>
      <w:pPr>
        <w:pStyle w:val="Heading1"/>
      </w:pPr>
      <w:r>
        <w:rPr>
          <w:rFonts w:ascii="Calibri" w:hAnsi="Calibri" w:eastAsia="Microsoft YaHei"/>
        </w:rPr>
        <w:t>01 问题定义与模块化边界</w:t>
      </w:r>
    </w:p>
    <w:p>
      <w:pPr/>
      <w:r>
        <w:rPr>
          <w:rFonts w:ascii="Calibri" w:hAnsi="Calibri" w:eastAsia="Microsoft YaHei"/>
          <w:sz w:val="22"/>
        </w:rPr>
        <w:t>研究对象为汽车零部件搬运夹具，包括门板、顶棚、仪表板、座椅、电池包、玻璃等工件的机械夹爪、吸盘梁、托臂、内撑和定位模块。载体可以是助力机械臂、工业机器人或专用搬运机。本文关注末端模块与换型流程，不覆盖整条混流线的生产排序优化。</w:t>
      </w:r>
    </w:p>
    <w:p>
      <w:pPr/>
      <w:r>
        <w:rPr>
          <w:rFonts w:ascii="Calibri" w:hAnsi="Calibri" w:eastAsia="Microsoft YaHei"/>
          <w:sz w:val="22"/>
        </w:rPr>
        <w:t>零件族建立是模块化设计的第一步。对每个车型/零件记录质量、重心、惯量、允许接触区、禁限区、取放姿态、路径包络、节拍、质量要求和异常状态，再按“相同承力原理 + 相似接口 + 可共用验证边界”聚类。若不同零件需要完全不同的承力路径或安全功能，应拆分为不同模块或独立设备，而不是强行共用。</w:t>
      </w: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800"/>
        <w:gridCol w:w="3480"/>
        <w:gridCol w:w="4080"/>
      </w:tblGrid>
      <w:tr>
        <w:trPr>
          <w:cantSplit w:val="true"/>
          <w:tblHeader w:val="true"/>
        </w:trPr>
        <w:tc>
          <w:tcPr>
            <w:tcW w:type="dxa" w:w="1800"/>
            <w:shd w:fill="2E74B5"/>
            <w:vAlign w:val="center"/>
          </w:tcPr>
          <w:p>
            <w:pPr>
              <w:pStyle w:val="AurekTable"/>
              <w:jc w:val="center"/>
            </w:pPr>
            <w:r>
              <w:rPr>
                <w:rFonts w:ascii="Calibri" w:hAnsi="Calibri" w:eastAsia="Microsoft YaHei"/>
                <w:b/>
                <w:color w:val="FFFFFF"/>
                <w:sz w:val="18"/>
              </w:rPr>
              <w:t>架构层</w:t>
            </w:r>
          </w:p>
        </w:tc>
        <w:tc>
          <w:tcPr>
            <w:tcW w:type="dxa" w:w="3480"/>
            <w:shd w:fill="2E74B5"/>
            <w:vAlign w:val="center"/>
          </w:tcPr>
          <w:p>
            <w:pPr>
              <w:pStyle w:val="AurekTable"/>
              <w:jc w:val="center"/>
            </w:pPr>
            <w:r>
              <w:rPr>
                <w:rFonts w:ascii="Calibri" w:hAnsi="Calibri" w:eastAsia="Microsoft YaHei"/>
                <w:b/>
                <w:color w:val="FFFFFF"/>
                <w:sz w:val="18"/>
              </w:rPr>
              <w:t>主要职责</w:t>
            </w:r>
          </w:p>
        </w:tc>
        <w:tc>
          <w:tcPr>
            <w:tcW w:type="dxa" w:w="4080"/>
            <w:shd w:fill="2E74B5"/>
            <w:vAlign w:val="center"/>
          </w:tcPr>
          <w:p>
            <w:pPr>
              <w:pStyle w:val="AurekTable"/>
              <w:jc w:val="center"/>
            </w:pPr>
            <w:r>
              <w:rPr>
                <w:rFonts w:ascii="Calibri" w:hAnsi="Calibri" w:eastAsia="Microsoft YaHei"/>
                <w:b/>
                <w:color w:val="FFFFFF"/>
                <w:sz w:val="18"/>
              </w:rPr>
              <w:t>设计冻结项</w:t>
            </w:r>
          </w:p>
        </w:tc>
      </w:tr>
      <w:tr>
        <w:trPr>
          <w:cantSplit w:val="true"/>
        </w:trPr>
        <w:tc>
          <w:tcPr>
            <w:tcW w:type="dxa" w:w="1800"/>
            <w:shd w:fill="F2F4F7"/>
            <w:vAlign w:val="center"/>
          </w:tcPr>
          <w:p>
            <w:pPr>
              <w:pStyle w:val="AurekTable"/>
              <w:jc w:val="left"/>
            </w:pPr>
            <w:r>
              <w:rPr>
                <w:rFonts w:ascii="Calibri" w:hAnsi="Calibri" w:eastAsia="Microsoft YaHei"/>
                <w:sz w:val="18"/>
              </w:rPr>
              <w:t>共用承载本体</w:t>
            </w:r>
          </w:p>
        </w:tc>
        <w:tc>
          <w:tcPr>
            <w:tcW w:type="dxa" w:w="3480"/>
            <w:vAlign w:val="center"/>
          </w:tcPr>
          <w:p>
            <w:pPr>
              <w:pStyle w:val="AurekTable"/>
              <w:jc w:val="left"/>
            </w:pPr>
            <w:r>
              <w:rPr>
                <w:rFonts w:ascii="Calibri" w:hAnsi="Calibri" w:eastAsia="Microsoft YaHei"/>
                <w:sz w:val="18"/>
              </w:rPr>
              <w:t>提供额定载荷、自由度、平衡和基础控制</w:t>
            </w:r>
          </w:p>
        </w:tc>
        <w:tc>
          <w:tcPr>
            <w:tcW w:type="dxa" w:w="4080"/>
            <w:vAlign w:val="center"/>
          </w:tcPr>
          <w:p>
            <w:pPr>
              <w:pStyle w:val="AurekTable"/>
              <w:jc w:val="left"/>
            </w:pPr>
            <w:r>
              <w:rPr>
                <w:rFonts w:ascii="Calibri" w:hAnsi="Calibri" w:eastAsia="Microsoft YaHei"/>
                <w:sz w:val="18"/>
              </w:rPr>
              <w:t>最大载荷/力矩、接口位置、包络</w:t>
            </w:r>
          </w:p>
        </w:tc>
      </w:tr>
      <w:tr>
        <w:trPr>
          <w:cantSplit w:val="true"/>
        </w:trPr>
        <w:tc>
          <w:tcPr>
            <w:tcW w:type="dxa" w:w="1800"/>
            <w:shd w:fill="F2F4F7"/>
            <w:vAlign w:val="center"/>
          </w:tcPr>
          <w:p>
            <w:pPr>
              <w:pStyle w:val="AurekTable"/>
              <w:jc w:val="left"/>
            </w:pPr>
            <w:r>
              <w:rPr>
                <w:rFonts w:ascii="Calibri" w:hAnsi="Calibri" w:eastAsia="Microsoft YaHei"/>
                <w:sz w:val="18"/>
              </w:rPr>
              <w:t>快换主接口</w:t>
            </w:r>
          </w:p>
        </w:tc>
        <w:tc>
          <w:tcPr>
            <w:tcW w:type="dxa" w:w="3480"/>
            <w:vAlign w:val="center"/>
          </w:tcPr>
          <w:p>
            <w:pPr>
              <w:pStyle w:val="AurekTable"/>
              <w:jc w:val="left"/>
            </w:pPr>
            <w:r>
              <w:rPr>
                <w:rFonts w:ascii="Calibri" w:hAnsi="Calibri" w:eastAsia="Microsoft YaHei"/>
                <w:sz w:val="18"/>
              </w:rPr>
              <w:t>重复定位、锁紧、介质和信号传递</w:t>
            </w:r>
          </w:p>
        </w:tc>
        <w:tc>
          <w:tcPr>
            <w:tcW w:type="dxa" w:w="4080"/>
            <w:vAlign w:val="center"/>
          </w:tcPr>
          <w:p>
            <w:pPr>
              <w:pStyle w:val="AurekTable"/>
              <w:jc w:val="left"/>
            </w:pPr>
            <w:r>
              <w:rPr>
                <w:rFonts w:ascii="Calibri" w:hAnsi="Calibri" w:eastAsia="Microsoft YaHei"/>
                <w:sz w:val="18"/>
              </w:rPr>
              <w:t>机械基准、锁止原理、容量与寿命</w:t>
            </w:r>
          </w:p>
        </w:tc>
      </w:tr>
      <w:tr>
        <w:trPr>
          <w:cantSplit w:val="true"/>
        </w:trPr>
        <w:tc>
          <w:tcPr>
            <w:tcW w:type="dxa" w:w="1800"/>
            <w:shd w:fill="F2F4F7"/>
            <w:vAlign w:val="center"/>
          </w:tcPr>
          <w:p>
            <w:pPr>
              <w:pStyle w:val="AurekTable"/>
              <w:jc w:val="left"/>
            </w:pPr>
            <w:r>
              <w:rPr>
                <w:rFonts w:ascii="Calibri" w:hAnsi="Calibri" w:eastAsia="Microsoft YaHei"/>
                <w:sz w:val="18"/>
              </w:rPr>
              <w:t>车型功能模块</w:t>
            </w:r>
          </w:p>
        </w:tc>
        <w:tc>
          <w:tcPr>
            <w:tcW w:type="dxa" w:w="3480"/>
            <w:vAlign w:val="center"/>
          </w:tcPr>
          <w:p>
            <w:pPr>
              <w:pStyle w:val="AurekTable"/>
              <w:jc w:val="left"/>
            </w:pPr>
            <w:r>
              <w:rPr>
                <w:rFonts w:ascii="Calibri" w:hAnsi="Calibri" w:eastAsia="Microsoft YaHei"/>
                <w:sz w:val="18"/>
              </w:rPr>
              <w:t>与具体工件接触、定位、夹持/吸附</w:t>
            </w:r>
          </w:p>
        </w:tc>
        <w:tc>
          <w:tcPr>
            <w:tcW w:type="dxa" w:w="4080"/>
            <w:vAlign w:val="center"/>
          </w:tcPr>
          <w:p>
            <w:pPr>
              <w:pStyle w:val="AurekTable"/>
              <w:jc w:val="left"/>
            </w:pPr>
            <w:r>
              <w:rPr>
                <w:rFonts w:ascii="Calibri" w:hAnsi="Calibri" w:eastAsia="Microsoft YaHei"/>
                <w:sz w:val="18"/>
              </w:rPr>
              <w:t>接触区、夹持力、模块 ID、禁限区</w:t>
            </w:r>
          </w:p>
        </w:tc>
      </w:tr>
      <w:tr>
        <w:trPr>
          <w:cantSplit w:val="true"/>
        </w:trPr>
        <w:tc>
          <w:tcPr>
            <w:tcW w:type="dxa" w:w="1800"/>
            <w:shd w:fill="F2F4F7"/>
            <w:vAlign w:val="center"/>
          </w:tcPr>
          <w:p>
            <w:pPr>
              <w:pStyle w:val="AurekTable"/>
              <w:jc w:val="left"/>
            </w:pPr>
            <w:r>
              <w:rPr>
                <w:rFonts w:ascii="Calibri" w:hAnsi="Calibri" w:eastAsia="Microsoft YaHei"/>
                <w:sz w:val="18"/>
              </w:rPr>
              <w:t>存放站</w:t>
            </w:r>
          </w:p>
        </w:tc>
        <w:tc>
          <w:tcPr>
            <w:tcW w:type="dxa" w:w="3480"/>
            <w:vAlign w:val="center"/>
          </w:tcPr>
          <w:p>
            <w:pPr>
              <w:pStyle w:val="AurekTable"/>
              <w:jc w:val="left"/>
            </w:pPr>
            <w:r>
              <w:rPr>
                <w:rFonts w:ascii="Calibri" w:hAnsi="Calibri" w:eastAsia="Microsoft YaHei"/>
                <w:sz w:val="18"/>
              </w:rPr>
              <w:t>支撑离线工具并允许安全耦合/解耦</w:t>
            </w:r>
          </w:p>
        </w:tc>
        <w:tc>
          <w:tcPr>
            <w:tcW w:type="dxa" w:w="4080"/>
            <w:vAlign w:val="center"/>
          </w:tcPr>
          <w:p>
            <w:pPr>
              <w:pStyle w:val="AurekTable"/>
              <w:jc w:val="left"/>
            </w:pPr>
            <w:r>
              <w:rPr>
                <w:rFonts w:ascii="Calibri" w:hAnsi="Calibri" w:eastAsia="Microsoft YaHei"/>
                <w:sz w:val="18"/>
              </w:rPr>
              <w:t>导向、存在、入站、清洁和防碰</w:t>
            </w:r>
          </w:p>
        </w:tc>
      </w:tr>
      <w:tr>
        <w:trPr>
          <w:cantSplit w:val="true"/>
        </w:trPr>
        <w:tc>
          <w:tcPr>
            <w:tcW w:type="dxa" w:w="1800"/>
            <w:shd w:fill="F2F4F7"/>
            <w:vAlign w:val="center"/>
          </w:tcPr>
          <w:p>
            <w:pPr>
              <w:pStyle w:val="AurekTable"/>
              <w:jc w:val="left"/>
            </w:pPr>
            <w:r>
              <w:rPr>
                <w:rFonts w:ascii="Calibri" w:hAnsi="Calibri" w:eastAsia="Microsoft YaHei"/>
                <w:sz w:val="18"/>
              </w:rPr>
              <w:t>配方与追溯</w:t>
            </w:r>
          </w:p>
        </w:tc>
        <w:tc>
          <w:tcPr>
            <w:tcW w:type="dxa" w:w="3480"/>
            <w:vAlign w:val="center"/>
          </w:tcPr>
          <w:p>
            <w:pPr>
              <w:pStyle w:val="AurekTable"/>
              <w:jc w:val="left"/>
            </w:pPr>
            <w:r>
              <w:rPr>
                <w:rFonts w:ascii="Calibri" w:hAnsi="Calibri" w:eastAsia="Microsoft YaHei"/>
                <w:sz w:val="18"/>
              </w:rPr>
              <w:t>车型识别、工具授权、参数和记录</w:t>
            </w:r>
          </w:p>
        </w:tc>
        <w:tc>
          <w:tcPr>
            <w:tcW w:type="dxa" w:w="4080"/>
            <w:vAlign w:val="center"/>
          </w:tcPr>
          <w:p>
            <w:pPr>
              <w:pStyle w:val="AurekTable"/>
              <w:jc w:val="left"/>
            </w:pPr>
            <w:r>
              <w:rPr>
                <w:rFonts w:ascii="Calibri" w:hAnsi="Calibri" w:eastAsia="Microsoft YaHei"/>
                <w:sz w:val="18"/>
              </w:rPr>
              <w:t>版本、权限、校验、变更与日志</w:t>
            </w:r>
          </w:p>
        </w:tc>
      </w:tr>
    </w:tbl>
    <w:p>
      <w:pPr>
        <w:spacing w:after="40"/>
      </w:pPr>
    </w:p>
    <w:p>
      <w:pPr>
        <w:pStyle w:val="Heading1"/>
      </w:pPr>
      <w:r>
        <w:rPr>
          <w:rFonts w:ascii="Calibri" w:hAnsi="Calibri" w:eastAsia="Microsoft YaHei"/>
        </w:rPr>
        <w:t>02 快换接口的机械与载荷设计</w:t>
      </w:r>
    </w:p>
    <w:p>
      <w:pPr/>
      <w:r>
        <w:rPr>
          <w:rFonts w:ascii="Calibri" w:hAnsi="Calibri" w:eastAsia="Microsoft YaHei"/>
          <w:sz w:val="22"/>
        </w:rPr>
        <w:t>快换接口应采用“定位与锁紧分工”的原则：定位元件负责重复基准，锁紧元件负责预紧与承载，紧固螺钉不应被默认当作精密定位。接口需要校核六分量载荷、组合力矩、冲击、疲劳和刚度，而非只看额定载荷质量。</w:t>
      </w:r>
    </w:p>
    <w:p>
      <w:pPr>
        <w:pStyle w:val="AurekEquation"/>
        <w:spacing w:before="80" w:after="160"/>
        <w:jc w:val="center"/>
        <w:shd w:fill="EEF3F7"/>
      </w:pPr>
      <w:r>
        <w:rPr>
          <w:rFonts w:ascii="Consolas" w:hAnsi="Consolas" w:eastAsia="Microsoft YaHei"/>
          <w:color w:val="203748"/>
          <w:sz w:val="19"/>
        </w:rPr>
        <w:t>U = |F_x|/F_x,allow + |F_y|/F_y,allow + |F_z|/F_z,allow + |M_x|/M_x,allow + |M_y|/M_y,allow + |M_z|/M_z,allow</w:t>
      </w:r>
    </w:p>
    <w:p>
      <w:pPr/>
      <w:r>
        <w:rPr>
          <w:rFonts w:ascii="Calibri" w:hAnsi="Calibri" w:eastAsia="Microsoft YaHei"/>
          <w:sz w:val="22"/>
        </w:rPr>
        <w:t>上式是保守的归一化利用率示例，具体产品应使用制造商给出的组合载荷曲线或经验证模型。允许值还需考虑动态、寿命、偏心和安全系数。接口背后的机械臂法兰、转接板和模块骨架必须一起校核，不能只验证快换器本体。</w:t>
      </w:r>
    </w:p>
    <w:p>
      <w:pPr>
        <w:pStyle w:val="Heading2"/>
      </w:pPr>
      <w:r>
        <w:rPr>
          <w:rFonts w:ascii="Calibri" w:hAnsi="Calibri" w:eastAsia="Microsoft YaHei"/>
        </w:rPr>
        <w:t>02.1 定位、锁止与失压状态</w:t>
      </w:r>
    </w:p>
    <w:p>
      <w:pPr/>
      <w:r>
        <w:rPr>
          <w:rFonts w:ascii="Calibri" w:hAnsi="Calibri" w:eastAsia="Microsoft YaHei"/>
          <w:sz w:val="22"/>
        </w:rPr>
        <w:t>公开快换产品资料普遍提供锁定/解锁位置反馈、工具存在或入锁准备信号，并采用机械自保持或失效安全锁紧结构[4][5]。这些产品特征只能作为架构参考，实际集成仍需按项目验证。失去锁紧气压后，即使机械结构能防止工具脱落，也可能不再保持定位精度，因此系统通常应停止运动并在恢复后重新确认锁紧，而不是继续生产[4]。</w:t>
      </w: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800"/>
        <w:gridCol w:w="3480"/>
        <w:gridCol w:w="4080"/>
      </w:tblGrid>
      <w:tr>
        <w:trPr>
          <w:cantSplit w:val="true"/>
          <w:tblHeader w:val="true"/>
        </w:trPr>
        <w:tc>
          <w:tcPr>
            <w:tcW w:type="dxa" w:w="1800"/>
            <w:shd w:fill="2E74B5"/>
            <w:vAlign w:val="center"/>
          </w:tcPr>
          <w:p>
            <w:pPr>
              <w:pStyle w:val="AurekTable"/>
              <w:jc w:val="center"/>
            </w:pPr>
            <w:r>
              <w:rPr>
                <w:rFonts w:ascii="Calibri" w:hAnsi="Calibri" w:eastAsia="Microsoft YaHei"/>
                <w:b/>
                <w:color w:val="FFFFFF"/>
                <w:sz w:val="18"/>
              </w:rPr>
              <w:t>机械特性</w:t>
            </w:r>
          </w:p>
        </w:tc>
        <w:tc>
          <w:tcPr>
            <w:tcW w:type="dxa" w:w="3480"/>
            <w:shd w:fill="2E74B5"/>
            <w:vAlign w:val="center"/>
          </w:tcPr>
          <w:p>
            <w:pPr>
              <w:pStyle w:val="AurekTable"/>
              <w:jc w:val="center"/>
            </w:pPr>
            <w:r>
              <w:rPr>
                <w:rFonts w:ascii="Calibri" w:hAnsi="Calibri" w:eastAsia="Microsoft YaHei"/>
                <w:b/>
                <w:color w:val="FFFFFF"/>
                <w:sz w:val="18"/>
              </w:rPr>
              <w:t>设计问题</w:t>
            </w:r>
          </w:p>
        </w:tc>
        <w:tc>
          <w:tcPr>
            <w:tcW w:type="dxa" w:w="4080"/>
            <w:shd w:fill="2E74B5"/>
            <w:vAlign w:val="center"/>
          </w:tcPr>
          <w:p>
            <w:pPr>
              <w:pStyle w:val="AurekTable"/>
              <w:jc w:val="center"/>
            </w:pPr>
            <w:r>
              <w:rPr>
                <w:rFonts w:ascii="Calibri" w:hAnsi="Calibri" w:eastAsia="Microsoft YaHei"/>
                <w:b/>
                <w:color w:val="FFFFFF"/>
                <w:sz w:val="18"/>
              </w:rPr>
              <w:t>验证方法</w:t>
            </w:r>
          </w:p>
        </w:tc>
      </w:tr>
      <w:tr>
        <w:trPr>
          <w:cantSplit w:val="true"/>
        </w:trPr>
        <w:tc>
          <w:tcPr>
            <w:tcW w:type="dxa" w:w="1800"/>
            <w:shd w:fill="F2F4F7"/>
            <w:vAlign w:val="center"/>
          </w:tcPr>
          <w:p>
            <w:pPr>
              <w:pStyle w:val="AurekTable"/>
              <w:jc w:val="left"/>
            </w:pPr>
            <w:r>
              <w:rPr>
                <w:rFonts w:ascii="Calibri" w:hAnsi="Calibri" w:eastAsia="Microsoft YaHei"/>
                <w:sz w:val="18"/>
              </w:rPr>
              <w:t>重复定位</w:t>
            </w:r>
          </w:p>
        </w:tc>
        <w:tc>
          <w:tcPr>
            <w:tcW w:type="dxa" w:w="3480"/>
            <w:vAlign w:val="center"/>
          </w:tcPr>
          <w:p>
            <w:pPr>
              <w:pStyle w:val="AurekTable"/>
              <w:jc w:val="left"/>
            </w:pPr>
            <w:r>
              <w:rPr>
                <w:rFonts w:ascii="Calibri" w:hAnsi="Calibri" w:eastAsia="Microsoft YaHei"/>
                <w:sz w:val="18"/>
              </w:rPr>
              <w:t>多次换型后 TCP/基准漂移是否可接受</w:t>
            </w:r>
          </w:p>
        </w:tc>
        <w:tc>
          <w:tcPr>
            <w:tcW w:type="dxa" w:w="4080"/>
            <w:vAlign w:val="center"/>
          </w:tcPr>
          <w:p>
            <w:pPr>
              <w:pStyle w:val="AurekTable"/>
              <w:jc w:val="left"/>
            </w:pPr>
            <w:r>
              <w:rPr>
                <w:rFonts w:ascii="Calibri" w:hAnsi="Calibri" w:eastAsia="Microsoft YaHei"/>
                <w:sz w:val="18"/>
              </w:rPr>
              <w:t>循环换装后的坐标测量</w:t>
            </w:r>
          </w:p>
        </w:tc>
      </w:tr>
      <w:tr>
        <w:trPr>
          <w:cantSplit w:val="true"/>
        </w:trPr>
        <w:tc>
          <w:tcPr>
            <w:tcW w:type="dxa" w:w="1800"/>
            <w:shd w:fill="F2F4F7"/>
            <w:vAlign w:val="center"/>
          </w:tcPr>
          <w:p>
            <w:pPr>
              <w:pStyle w:val="AurekTable"/>
              <w:jc w:val="left"/>
            </w:pPr>
            <w:r>
              <w:rPr>
                <w:rFonts w:ascii="Calibri" w:hAnsi="Calibri" w:eastAsia="Microsoft YaHei"/>
                <w:sz w:val="18"/>
              </w:rPr>
              <w:t>锁紧能力</w:t>
            </w:r>
          </w:p>
        </w:tc>
        <w:tc>
          <w:tcPr>
            <w:tcW w:type="dxa" w:w="3480"/>
            <w:vAlign w:val="center"/>
          </w:tcPr>
          <w:p>
            <w:pPr>
              <w:pStyle w:val="AurekTable"/>
              <w:jc w:val="left"/>
            </w:pPr>
            <w:r>
              <w:rPr>
                <w:rFonts w:ascii="Calibri" w:hAnsi="Calibri" w:eastAsia="Microsoft YaHei"/>
                <w:sz w:val="18"/>
              </w:rPr>
              <w:t>最不利偏心、急停和寿命后是否保持</w:t>
            </w:r>
          </w:p>
        </w:tc>
        <w:tc>
          <w:tcPr>
            <w:tcW w:type="dxa" w:w="4080"/>
            <w:vAlign w:val="center"/>
          </w:tcPr>
          <w:p>
            <w:pPr>
              <w:pStyle w:val="AurekTable"/>
              <w:jc w:val="left"/>
            </w:pPr>
            <w:r>
              <w:rPr>
                <w:rFonts w:ascii="Calibri" w:hAnsi="Calibri" w:eastAsia="Microsoft YaHei"/>
                <w:sz w:val="18"/>
              </w:rPr>
              <w:t>静载、动态、耐久与失压试验</w:t>
            </w:r>
          </w:p>
        </w:tc>
      </w:tr>
      <w:tr>
        <w:trPr>
          <w:cantSplit w:val="true"/>
        </w:trPr>
        <w:tc>
          <w:tcPr>
            <w:tcW w:type="dxa" w:w="1800"/>
            <w:shd w:fill="F2F4F7"/>
            <w:vAlign w:val="center"/>
          </w:tcPr>
          <w:p>
            <w:pPr>
              <w:pStyle w:val="AurekTable"/>
              <w:jc w:val="left"/>
            </w:pPr>
            <w:r>
              <w:rPr>
                <w:rFonts w:ascii="Calibri" w:hAnsi="Calibri" w:eastAsia="Microsoft YaHei"/>
                <w:sz w:val="18"/>
              </w:rPr>
              <w:t>抗错装</w:t>
            </w:r>
          </w:p>
        </w:tc>
        <w:tc>
          <w:tcPr>
            <w:tcW w:type="dxa" w:w="3480"/>
            <w:vAlign w:val="center"/>
          </w:tcPr>
          <w:p>
            <w:pPr>
              <w:pStyle w:val="AurekTable"/>
              <w:jc w:val="left"/>
            </w:pPr>
            <w:r>
              <w:rPr>
                <w:rFonts w:ascii="Calibri" w:hAnsi="Calibri" w:eastAsia="Microsoft YaHei"/>
                <w:sz w:val="18"/>
              </w:rPr>
              <w:t>错方向/错模块能否物理插入</w:t>
            </w:r>
          </w:p>
        </w:tc>
        <w:tc>
          <w:tcPr>
            <w:tcW w:type="dxa" w:w="4080"/>
            <w:vAlign w:val="center"/>
          </w:tcPr>
          <w:p>
            <w:pPr>
              <w:pStyle w:val="AurekTable"/>
              <w:jc w:val="left"/>
            </w:pPr>
            <w:r>
              <w:rPr>
                <w:rFonts w:ascii="Calibri" w:hAnsi="Calibri" w:eastAsia="Microsoft YaHei"/>
                <w:sz w:val="18"/>
              </w:rPr>
              <w:t>反向、偏位和相似模块试装</w:t>
            </w:r>
          </w:p>
        </w:tc>
      </w:tr>
      <w:tr>
        <w:trPr>
          <w:cantSplit w:val="true"/>
        </w:trPr>
        <w:tc>
          <w:tcPr>
            <w:tcW w:type="dxa" w:w="1800"/>
            <w:shd w:fill="F2F4F7"/>
            <w:vAlign w:val="center"/>
          </w:tcPr>
          <w:p>
            <w:pPr>
              <w:pStyle w:val="AurekTable"/>
              <w:jc w:val="left"/>
            </w:pPr>
            <w:r>
              <w:rPr>
                <w:rFonts w:ascii="Calibri" w:hAnsi="Calibri" w:eastAsia="Microsoft YaHei"/>
                <w:sz w:val="18"/>
              </w:rPr>
              <w:t>入站支撑</w:t>
            </w:r>
          </w:p>
        </w:tc>
        <w:tc>
          <w:tcPr>
            <w:tcW w:type="dxa" w:w="3480"/>
            <w:vAlign w:val="center"/>
          </w:tcPr>
          <w:p>
            <w:pPr>
              <w:pStyle w:val="AurekTable"/>
              <w:jc w:val="left"/>
            </w:pPr>
            <w:r>
              <w:rPr>
                <w:rFonts w:ascii="Calibri" w:hAnsi="Calibri" w:eastAsia="Microsoft YaHei"/>
                <w:sz w:val="18"/>
              </w:rPr>
              <w:t>解锁前工具是否完全由站位承托</w:t>
            </w:r>
          </w:p>
        </w:tc>
        <w:tc>
          <w:tcPr>
            <w:tcW w:type="dxa" w:w="4080"/>
            <w:vAlign w:val="center"/>
          </w:tcPr>
          <w:p>
            <w:pPr>
              <w:pStyle w:val="AurekTable"/>
              <w:jc w:val="left"/>
            </w:pPr>
            <w:r>
              <w:rPr>
                <w:rFonts w:ascii="Calibri" w:hAnsi="Calibri" w:eastAsia="Microsoft YaHei"/>
                <w:sz w:val="18"/>
              </w:rPr>
              <w:t>入站传感、载荷卸除与解锁测试</w:t>
            </w:r>
          </w:p>
        </w:tc>
      </w:tr>
      <w:tr>
        <w:trPr>
          <w:cantSplit w:val="true"/>
        </w:trPr>
        <w:tc>
          <w:tcPr>
            <w:tcW w:type="dxa" w:w="1800"/>
            <w:shd w:fill="F2F4F7"/>
            <w:vAlign w:val="center"/>
          </w:tcPr>
          <w:p>
            <w:pPr>
              <w:pStyle w:val="AurekTable"/>
              <w:jc w:val="left"/>
            </w:pPr>
            <w:r>
              <w:rPr>
                <w:rFonts w:ascii="Calibri" w:hAnsi="Calibri" w:eastAsia="Microsoft YaHei"/>
                <w:sz w:val="18"/>
              </w:rPr>
              <w:t>污染耐受</w:t>
            </w:r>
          </w:p>
        </w:tc>
        <w:tc>
          <w:tcPr>
            <w:tcW w:type="dxa" w:w="3480"/>
            <w:vAlign w:val="center"/>
          </w:tcPr>
          <w:p>
            <w:pPr>
              <w:pStyle w:val="AurekTable"/>
              <w:jc w:val="left"/>
            </w:pPr>
            <w:r>
              <w:rPr>
                <w:rFonts w:ascii="Calibri" w:hAnsi="Calibri" w:eastAsia="Microsoft YaHei"/>
                <w:sz w:val="18"/>
              </w:rPr>
              <w:t>焊渣、油污、粉尘是否影响定位/连接</w:t>
            </w:r>
          </w:p>
        </w:tc>
        <w:tc>
          <w:tcPr>
            <w:tcW w:type="dxa" w:w="4080"/>
            <w:vAlign w:val="center"/>
          </w:tcPr>
          <w:p>
            <w:pPr>
              <w:pStyle w:val="AurekTable"/>
              <w:jc w:val="left"/>
            </w:pPr>
            <w:r>
              <w:rPr>
                <w:rFonts w:ascii="Calibri" w:hAnsi="Calibri" w:eastAsia="Microsoft YaHei"/>
                <w:sz w:val="18"/>
              </w:rPr>
              <w:t>规定污染条件下循环测试</w:t>
            </w:r>
          </w:p>
        </w:tc>
      </w:tr>
    </w:tbl>
    <w:p>
      <w:pPr>
        <w:spacing w:after="40"/>
      </w:pPr>
    </w:p>
    <w:p>
      <w:pPr>
        <w:pStyle w:val="Heading1"/>
      </w:pPr>
      <w:r>
        <w:rPr>
          <w:rFonts w:ascii="Calibri" w:hAnsi="Calibri" w:eastAsia="Microsoft YaHei"/>
        </w:rPr>
        <w:t>03 介质、信号与工具识别</w:t>
      </w:r>
    </w:p>
    <w:p>
      <w:pPr/>
      <w:r>
        <w:rPr>
          <w:rFonts w:ascii="Calibri" w:hAnsi="Calibri" w:eastAsia="Microsoft YaHei"/>
          <w:sz w:val="22"/>
        </w:rPr>
        <w:t>气路、真空、电源、通信和冷却介质需要标准化连接，但标准化不等于所有模块都开放全部介质。未使用端口应封闭或在配方中明确禁用，避免错接和泄漏。电气触点应评估耦合顺序、带电插拔、弧光、针脚损坏和污染；气动/真空接口应评估残余压力、交叉连通和密封寿命。</w:t>
      </w:r>
    </w:p>
    <w:p>
      <w:pPr/>
      <w:r>
        <w:rPr>
          <w:rFonts w:ascii="Calibri" w:hAnsi="Calibri" w:eastAsia="Microsoft YaHei"/>
          <w:sz w:val="22"/>
        </w:rPr>
        <w:t>工具识别可采用机械编码、独立离散码、RFID、存储芯片或网络设备身份。高风险场景不宜只依赖一个可轻易复制的文本标签。若使用 n 位离散码，合法码之间的汉明距离至少为 2 才能检测任意单比特错误；若希望同时纠正单比特错误，最小距离需达到 3。工程上还应配合工具存在、锁止和物理接口防错。</w:t>
      </w:r>
    </w:p>
    <w:p>
      <w:pPr>
        <w:pStyle w:val="AurekEquation"/>
        <w:spacing w:before="80" w:after="160"/>
        <w:jc w:val="center"/>
        <w:shd w:fill="EEF3F7"/>
      </w:pPr>
      <w:r>
        <w:rPr>
          <w:rFonts w:ascii="Consolas" w:hAnsi="Consolas" w:eastAsia="Microsoft YaHei"/>
          <w:color w:val="203748"/>
          <w:sz w:val="19"/>
        </w:rPr>
        <w:t>Run_Enable = Locked ∧ Tool_Present ∧ ID_Valid ∧ (Tool_ID = Target_ID) ∧ Utilities_OK ∧ Recipe_Valid</w:t>
      </w:r>
    </w:p>
    <w:p>
      <w:pPr/>
      <w:r>
        <w:rPr>
          <w:rFonts w:ascii="Calibri" w:hAnsi="Calibri" w:eastAsia="Microsoft YaHei"/>
          <w:sz w:val="22"/>
        </w:rPr>
        <w:t>配方有效不仅意味着“编号匹配”，还应包含版本、审批状态、完整性校验和适用的工件版本。网络不可用或身份冲突时，系统应拒绝进入自动/生产动作，并给出可诊断信息。</w:t>
      </w:r>
    </w:p>
    <w:p>
      <w:pPr>
        <w:pStyle w:val="Heading1"/>
      </w:pPr>
      <w:r>
        <w:rPr>
          <w:rFonts w:ascii="Calibri" w:hAnsi="Calibri" w:eastAsia="Microsoft YaHei"/>
        </w:rPr>
        <w:t>04 防错链：从生产计划到动作许可</w:t>
      </w:r>
    </w:p>
    <w:p>
      <w:pPr/>
      <w:r>
        <w:rPr>
          <w:rFonts w:ascii="Calibri" w:hAnsi="Calibri" w:eastAsia="Microsoft YaHei"/>
          <w:sz w:val="22"/>
        </w:rPr>
        <w:t>防错应覆盖整个换型链，而不是只在快换器上增加一个传感器。建议把五个对象进行一致性比较：目标车型/零件、现场实际工件、存放位取出的工具、快换接口检测到的工具、控制系统加载的配方。任意对象不一致，系统都应停留在可恢复状态。</w:t>
      </w:r>
    </w:p>
    <w:p>
      <w:pPr>
        <w:pStyle w:val="Heading2"/>
      </w:pPr>
      <w:r>
        <w:rPr>
          <w:rFonts w:ascii="Calibri" w:hAnsi="Calibri" w:eastAsia="Microsoft YaHei"/>
        </w:rPr>
        <w:t>04.1 防错层级</w:t>
      </w:r>
    </w:p>
    <w:p>
      <w:pPr>
        <w:pStyle w:val="AurekList"/>
        <w:numPr>
          <w:ilvl w:val="0"/>
          <w:numId w:val="11"/>
        </w:numPr>
      </w:pPr>
      <w:r>
        <w:rPr>
          <w:rFonts w:ascii="Calibri" w:hAnsi="Calibri" w:eastAsia="Microsoft YaHei"/>
          <w:b/>
          <w:color w:val="203748"/>
          <w:sz w:val="21"/>
        </w:rPr>
        <w:t>物理防错</w:t>
      </w:r>
      <w:r>
        <w:rPr>
          <w:rFonts w:ascii="Calibri" w:hAnsi="Calibri" w:eastAsia="Microsoft YaHei"/>
          <w:sz w:val="21"/>
        </w:rPr>
        <w:t>：不对称销、键位、轮廓和连接器使错误模块无法完全插入。</w:t>
      </w:r>
    </w:p>
    <w:p>
      <w:pPr>
        <w:pStyle w:val="AurekList"/>
        <w:numPr>
          <w:ilvl w:val="0"/>
          <w:numId w:val="11"/>
        </w:numPr>
      </w:pPr>
      <w:r>
        <w:rPr>
          <w:rFonts w:ascii="Calibri" w:hAnsi="Calibri" w:eastAsia="Microsoft YaHei"/>
          <w:b/>
          <w:color w:val="203748"/>
          <w:sz w:val="21"/>
        </w:rPr>
        <w:t>状态防错</w:t>
      </w:r>
      <w:r>
        <w:rPr>
          <w:rFonts w:ascii="Calibri" w:hAnsi="Calibri" w:eastAsia="Microsoft YaHei"/>
          <w:sz w:val="21"/>
        </w:rPr>
        <w:t>：工具存在、入锁准备、锁定、解锁、介质压力/真空和站位状态可测。</w:t>
      </w:r>
    </w:p>
    <w:p>
      <w:pPr>
        <w:pStyle w:val="AurekList"/>
        <w:numPr>
          <w:ilvl w:val="0"/>
          <w:numId w:val="11"/>
        </w:numPr>
      </w:pPr>
      <w:r>
        <w:rPr>
          <w:rFonts w:ascii="Calibri" w:hAnsi="Calibri" w:eastAsia="Microsoft YaHei"/>
          <w:b/>
          <w:color w:val="203748"/>
          <w:sz w:val="21"/>
        </w:rPr>
        <w:t>身份防错</w:t>
      </w:r>
      <w:r>
        <w:rPr>
          <w:rFonts w:ascii="Calibri" w:hAnsi="Calibri" w:eastAsia="Microsoft YaHei"/>
          <w:sz w:val="21"/>
        </w:rPr>
        <w:t>：模块 ID 与目标车型、工件识别和配方一致。</w:t>
      </w:r>
    </w:p>
    <w:p>
      <w:pPr>
        <w:pStyle w:val="AurekList"/>
        <w:numPr>
          <w:ilvl w:val="0"/>
          <w:numId w:val="11"/>
        </w:numPr>
      </w:pPr>
      <w:r>
        <w:rPr>
          <w:rFonts w:ascii="Calibri" w:hAnsi="Calibri" w:eastAsia="Microsoft YaHei"/>
          <w:b/>
          <w:color w:val="203748"/>
          <w:sz w:val="21"/>
        </w:rPr>
        <w:t>时序防错</w:t>
      </w:r>
      <w:r>
        <w:rPr>
          <w:rFonts w:ascii="Calibri" w:hAnsi="Calibri" w:eastAsia="Microsoft YaHei"/>
          <w:sz w:val="21"/>
        </w:rPr>
        <w:t>：未入站、未卸载或仍在运动时不允许解锁；未锁定完成时不允许离站。</w:t>
      </w:r>
    </w:p>
    <w:p>
      <w:pPr>
        <w:pStyle w:val="AurekList"/>
        <w:numPr>
          <w:ilvl w:val="0"/>
          <w:numId w:val="11"/>
        </w:numPr>
      </w:pPr>
      <w:r>
        <w:rPr>
          <w:rFonts w:ascii="Calibri" w:hAnsi="Calibri" w:eastAsia="Microsoft YaHei"/>
          <w:b/>
          <w:color w:val="203748"/>
          <w:sz w:val="21"/>
        </w:rPr>
        <w:t>管理防错</w:t>
      </w:r>
      <w:r>
        <w:rPr>
          <w:rFonts w:ascii="Calibri" w:hAnsi="Calibri" w:eastAsia="Microsoft YaHei"/>
          <w:sz w:val="21"/>
        </w:rPr>
        <w:t>：模块唯一编号、存放位置、点检、维修后复验和软件版本审批。</w:t>
      </w: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800"/>
        <w:gridCol w:w="3480"/>
        <w:gridCol w:w="4080"/>
      </w:tblGrid>
      <w:tr>
        <w:trPr>
          <w:cantSplit w:val="true"/>
          <w:tblHeader w:val="true"/>
        </w:trPr>
        <w:tc>
          <w:tcPr>
            <w:tcW w:type="dxa" w:w="1800"/>
            <w:shd w:fill="2E74B5"/>
            <w:vAlign w:val="center"/>
          </w:tcPr>
          <w:p>
            <w:pPr>
              <w:pStyle w:val="AurekTable"/>
              <w:jc w:val="center"/>
            </w:pPr>
            <w:r>
              <w:rPr>
                <w:rFonts w:ascii="Calibri" w:hAnsi="Calibri" w:eastAsia="Microsoft YaHei"/>
                <w:b/>
                <w:color w:val="FFFFFF"/>
                <w:sz w:val="18"/>
              </w:rPr>
              <w:t>错误场景</w:t>
            </w:r>
          </w:p>
        </w:tc>
        <w:tc>
          <w:tcPr>
            <w:tcW w:type="dxa" w:w="3480"/>
            <w:shd w:fill="2E74B5"/>
            <w:vAlign w:val="center"/>
          </w:tcPr>
          <w:p>
            <w:pPr>
              <w:pStyle w:val="AurekTable"/>
              <w:jc w:val="center"/>
            </w:pPr>
            <w:r>
              <w:rPr>
                <w:rFonts w:ascii="Calibri" w:hAnsi="Calibri" w:eastAsia="Microsoft YaHei"/>
                <w:b/>
                <w:color w:val="FFFFFF"/>
                <w:sz w:val="18"/>
              </w:rPr>
              <w:t>系统应如何阻止</w:t>
            </w:r>
          </w:p>
        </w:tc>
        <w:tc>
          <w:tcPr>
            <w:tcW w:type="dxa" w:w="4080"/>
            <w:shd w:fill="2E74B5"/>
            <w:vAlign w:val="center"/>
          </w:tcPr>
          <w:p>
            <w:pPr>
              <w:pStyle w:val="AurekTable"/>
              <w:jc w:val="center"/>
            </w:pPr>
            <w:r>
              <w:rPr>
                <w:rFonts w:ascii="Calibri" w:hAnsi="Calibri" w:eastAsia="Microsoft YaHei"/>
                <w:b/>
                <w:color w:val="FFFFFF"/>
                <w:sz w:val="18"/>
              </w:rPr>
              <w:t>证据</w:t>
            </w:r>
          </w:p>
        </w:tc>
      </w:tr>
      <w:tr>
        <w:trPr>
          <w:cantSplit w:val="true"/>
        </w:trPr>
        <w:tc>
          <w:tcPr>
            <w:tcW w:type="dxa" w:w="1800"/>
            <w:shd w:fill="F2F4F7"/>
            <w:vAlign w:val="center"/>
          </w:tcPr>
          <w:p>
            <w:pPr>
              <w:pStyle w:val="AurekTable"/>
              <w:jc w:val="left"/>
            </w:pPr>
            <w:r>
              <w:rPr>
                <w:rFonts w:ascii="Calibri" w:hAnsi="Calibri" w:eastAsia="Microsoft YaHei"/>
                <w:sz w:val="18"/>
              </w:rPr>
              <w:t>错工具进入主接口</w:t>
            </w:r>
          </w:p>
        </w:tc>
        <w:tc>
          <w:tcPr>
            <w:tcW w:type="dxa" w:w="3480"/>
            <w:vAlign w:val="center"/>
          </w:tcPr>
          <w:p>
            <w:pPr>
              <w:pStyle w:val="AurekTable"/>
              <w:jc w:val="left"/>
            </w:pPr>
            <w:r>
              <w:rPr>
                <w:rFonts w:ascii="Calibri" w:hAnsi="Calibri" w:eastAsia="Microsoft YaHei"/>
                <w:sz w:val="18"/>
              </w:rPr>
              <w:t>物理键位或身份不一致</w:t>
            </w:r>
          </w:p>
        </w:tc>
        <w:tc>
          <w:tcPr>
            <w:tcW w:type="dxa" w:w="4080"/>
            <w:vAlign w:val="center"/>
          </w:tcPr>
          <w:p>
            <w:pPr>
              <w:pStyle w:val="AurekTable"/>
              <w:jc w:val="left"/>
            </w:pPr>
            <w:r>
              <w:rPr>
                <w:rFonts w:ascii="Calibri" w:hAnsi="Calibri" w:eastAsia="Microsoft YaHei"/>
                <w:sz w:val="18"/>
              </w:rPr>
              <w:t>错装试验、ID 日志</w:t>
            </w:r>
          </w:p>
        </w:tc>
      </w:tr>
      <w:tr>
        <w:trPr>
          <w:cantSplit w:val="true"/>
        </w:trPr>
        <w:tc>
          <w:tcPr>
            <w:tcW w:type="dxa" w:w="1800"/>
            <w:shd w:fill="F2F4F7"/>
            <w:vAlign w:val="center"/>
          </w:tcPr>
          <w:p>
            <w:pPr>
              <w:pStyle w:val="AurekTable"/>
              <w:jc w:val="left"/>
            </w:pPr>
            <w:r>
              <w:rPr>
                <w:rFonts w:ascii="Calibri" w:hAnsi="Calibri" w:eastAsia="Microsoft YaHei"/>
                <w:sz w:val="18"/>
              </w:rPr>
              <w:t>工具未完全入站即解锁</w:t>
            </w:r>
          </w:p>
        </w:tc>
        <w:tc>
          <w:tcPr>
            <w:tcW w:type="dxa" w:w="3480"/>
            <w:vAlign w:val="center"/>
          </w:tcPr>
          <w:p>
            <w:pPr>
              <w:pStyle w:val="AurekTable"/>
              <w:jc w:val="left"/>
            </w:pPr>
            <w:r>
              <w:rPr>
                <w:rFonts w:ascii="Calibri" w:hAnsi="Calibri" w:eastAsia="Microsoft YaHei"/>
                <w:sz w:val="18"/>
              </w:rPr>
              <w:t>入站/载荷卸除联锁</w:t>
            </w:r>
          </w:p>
        </w:tc>
        <w:tc>
          <w:tcPr>
            <w:tcW w:type="dxa" w:w="4080"/>
            <w:vAlign w:val="center"/>
          </w:tcPr>
          <w:p>
            <w:pPr>
              <w:pStyle w:val="AurekTable"/>
              <w:jc w:val="left"/>
            </w:pPr>
            <w:r>
              <w:rPr>
                <w:rFonts w:ascii="Calibri" w:hAnsi="Calibri" w:eastAsia="Microsoft YaHei"/>
                <w:sz w:val="18"/>
              </w:rPr>
              <w:t>半入站故障注入</w:t>
            </w:r>
          </w:p>
        </w:tc>
      </w:tr>
      <w:tr>
        <w:trPr>
          <w:cantSplit w:val="true"/>
        </w:trPr>
        <w:tc>
          <w:tcPr>
            <w:tcW w:type="dxa" w:w="1800"/>
            <w:shd w:fill="F2F4F7"/>
            <w:vAlign w:val="center"/>
          </w:tcPr>
          <w:p>
            <w:pPr>
              <w:pStyle w:val="AurekTable"/>
              <w:jc w:val="left"/>
            </w:pPr>
            <w:r>
              <w:rPr>
                <w:rFonts w:ascii="Calibri" w:hAnsi="Calibri" w:eastAsia="Microsoft YaHei"/>
                <w:sz w:val="18"/>
              </w:rPr>
              <w:t>锁反馈虚假</w:t>
            </w:r>
          </w:p>
        </w:tc>
        <w:tc>
          <w:tcPr>
            <w:tcW w:type="dxa" w:w="3480"/>
            <w:vAlign w:val="center"/>
          </w:tcPr>
          <w:p>
            <w:pPr>
              <w:pStyle w:val="AurekTable"/>
              <w:jc w:val="left"/>
            </w:pPr>
            <w:r>
              <w:rPr>
                <w:rFonts w:ascii="Calibri" w:hAnsi="Calibri" w:eastAsia="Microsoft YaHei"/>
                <w:sz w:val="18"/>
              </w:rPr>
              <w:t>锁/解锁互补、工具存在、压力/位置合理性</w:t>
            </w:r>
          </w:p>
        </w:tc>
        <w:tc>
          <w:tcPr>
            <w:tcW w:type="dxa" w:w="4080"/>
            <w:vAlign w:val="center"/>
          </w:tcPr>
          <w:p>
            <w:pPr>
              <w:pStyle w:val="AurekTable"/>
              <w:jc w:val="left"/>
            </w:pPr>
            <w:r>
              <w:rPr>
                <w:rFonts w:ascii="Calibri" w:hAnsi="Calibri" w:eastAsia="Microsoft YaHei"/>
                <w:sz w:val="18"/>
              </w:rPr>
              <w:t>信号卡死测试</w:t>
            </w:r>
          </w:p>
        </w:tc>
      </w:tr>
      <w:tr>
        <w:trPr>
          <w:cantSplit w:val="true"/>
        </w:trPr>
        <w:tc>
          <w:tcPr>
            <w:tcW w:type="dxa" w:w="1800"/>
            <w:shd w:fill="F2F4F7"/>
            <w:vAlign w:val="center"/>
          </w:tcPr>
          <w:p>
            <w:pPr>
              <w:pStyle w:val="AurekTable"/>
              <w:jc w:val="left"/>
            </w:pPr>
            <w:r>
              <w:rPr>
                <w:rFonts w:ascii="Calibri" w:hAnsi="Calibri" w:eastAsia="Microsoft YaHei"/>
                <w:sz w:val="18"/>
              </w:rPr>
              <w:t>正确工具加载错误配方</w:t>
            </w:r>
          </w:p>
        </w:tc>
        <w:tc>
          <w:tcPr>
            <w:tcW w:type="dxa" w:w="3480"/>
            <w:vAlign w:val="center"/>
          </w:tcPr>
          <w:p>
            <w:pPr>
              <w:pStyle w:val="AurekTable"/>
              <w:jc w:val="left"/>
            </w:pPr>
            <w:r>
              <w:rPr>
                <w:rFonts w:ascii="Calibri" w:hAnsi="Calibri" w:eastAsia="Microsoft YaHei"/>
                <w:sz w:val="18"/>
              </w:rPr>
              <w:t>工具 ID、目标工件与配方版本三方校验</w:t>
            </w:r>
          </w:p>
        </w:tc>
        <w:tc>
          <w:tcPr>
            <w:tcW w:type="dxa" w:w="4080"/>
            <w:vAlign w:val="center"/>
          </w:tcPr>
          <w:p>
            <w:pPr>
              <w:pStyle w:val="AurekTable"/>
              <w:jc w:val="left"/>
            </w:pPr>
            <w:r>
              <w:rPr>
                <w:rFonts w:ascii="Calibri" w:hAnsi="Calibri" w:eastAsia="Microsoft YaHei"/>
                <w:sz w:val="18"/>
              </w:rPr>
              <w:t>配方错配测试</w:t>
            </w:r>
          </w:p>
        </w:tc>
      </w:tr>
      <w:tr>
        <w:trPr>
          <w:cantSplit w:val="true"/>
        </w:trPr>
        <w:tc>
          <w:tcPr>
            <w:tcW w:type="dxa" w:w="1800"/>
            <w:shd w:fill="F2F4F7"/>
            <w:vAlign w:val="center"/>
          </w:tcPr>
          <w:p>
            <w:pPr>
              <w:pStyle w:val="AurekTable"/>
              <w:jc w:val="left"/>
            </w:pPr>
            <w:r>
              <w:rPr>
                <w:rFonts w:ascii="Calibri" w:hAnsi="Calibri" w:eastAsia="Microsoft YaHei"/>
                <w:sz w:val="18"/>
              </w:rPr>
              <w:t>相似工具放错存放位</w:t>
            </w:r>
          </w:p>
        </w:tc>
        <w:tc>
          <w:tcPr>
            <w:tcW w:type="dxa" w:w="3480"/>
            <w:vAlign w:val="center"/>
          </w:tcPr>
          <w:p>
            <w:pPr>
              <w:pStyle w:val="AurekTable"/>
              <w:jc w:val="left"/>
            </w:pPr>
            <w:r>
              <w:rPr>
                <w:rFonts w:ascii="Calibri" w:hAnsi="Calibri" w:eastAsia="Microsoft YaHei"/>
                <w:sz w:val="18"/>
              </w:rPr>
              <w:t>站位 ID 与工具 ID 校验、物理轮廓</w:t>
            </w:r>
          </w:p>
        </w:tc>
        <w:tc>
          <w:tcPr>
            <w:tcW w:type="dxa" w:w="4080"/>
            <w:vAlign w:val="center"/>
          </w:tcPr>
          <w:p>
            <w:pPr>
              <w:pStyle w:val="AurekTable"/>
              <w:jc w:val="left"/>
            </w:pPr>
            <w:r>
              <w:rPr>
                <w:rFonts w:ascii="Calibri" w:hAnsi="Calibri" w:eastAsia="Microsoft YaHei"/>
                <w:sz w:val="18"/>
              </w:rPr>
              <w:t>错位存放测试</w:t>
            </w:r>
          </w:p>
        </w:tc>
      </w:tr>
      <w:tr>
        <w:trPr>
          <w:cantSplit w:val="true"/>
        </w:trPr>
        <w:tc>
          <w:tcPr>
            <w:tcW w:type="dxa" w:w="1800"/>
            <w:shd w:fill="F2F4F7"/>
            <w:vAlign w:val="center"/>
          </w:tcPr>
          <w:p>
            <w:pPr>
              <w:pStyle w:val="AurekTable"/>
              <w:jc w:val="left"/>
            </w:pPr>
            <w:r>
              <w:rPr>
                <w:rFonts w:ascii="Calibri" w:hAnsi="Calibri" w:eastAsia="Microsoft YaHei"/>
                <w:sz w:val="18"/>
              </w:rPr>
              <w:t>维修后工具尺寸漂移</w:t>
            </w:r>
          </w:p>
        </w:tc>
        <w:tc>
          <w:tcPr>
            <w:tcW w:type="dxa" w:w="3480"/>
            <w:vAlign w:val="center"/>
          </w:tcPr>
          <w:p>
            <w:pPr>
              <w:pStyle w:val="AurekTable"/>
              <w:jc w:val="left"/>
            </w:pPr>
            <w:r>
              <w:rPr>
                <w:rFonts w:ascii="Calibri" w:hAnsi="Calibri" w:eastAsia="Microsoft YaHei"/>
                <w:sz w:val="18"/>
              </w:rPr>
              <w:t>维修状态锁定、量检具或校准确认</w:t>
            </w:r>
          </w:p>
        </w:tc>
        <w:tc>
          <w:tcPr>
            <w:tcW w:type="dxa" w:w="4080"/>
            <w:vAlign w:val="center"/>
          </w:tcPr>
          <w:p>
            <w:pPr>
              <w:pStyle w:val="AurekTable"/>
              <w:jc w:val="left"/>
            </w:pPr>
            <w:r>
              <w:rPr>
                <w:rFonts w:ascii="Calibri" w:hAnsi="Calibri" w:eastAsia="Microsoft YaHei"/>
                <w:sz w:val="18"/>
              </w:rPr>
              <w:t>维修放行记录</w:t>
            </w:r>
          </w:p>
        </w:tc>
      </w:tr>
    </w:tbl>
    <w:p>
      <w:pPr>
        <w:spacing w:after="40"/>
      </w:pPr>
    </w:p>
    <w:p>
      <w:pPr>
        <w:pStyle w:val="Heading1"/>
      </w:pPr>
      <w:r>
        <w:rPr>
          <w:rFonts w:ascii="Calibri" w:hAnsi="Calibri" w:eastAsia="Microsoft YaHei"/>
        </w:rPr>
        <w:t>05 换型状态机与安全控制</w:t>
      </w:r>
    </w:p>
    <w:p>
      <w:pPr/>
      <w:r>
        <w:rPr>
          <w:rFonts w:ascii="Calibri" w:hAnsi="Calibri" w:eastAsia="Microsoft YaHei"/>
          <w:sz w:val="22"/>
        </w:rPr>
        <w:t>推荐状态机包括：生产结束、载荷清空、返回换型安全位、工具入站、载荷卸除确认、解锁许可、解锁、主侧退出、目标站确认、接近目标工具、入锁准备、锁紧、锁紧验证、工具 ID/介质/配方校验、空载功能检查、首件确认和生产放行。</w:t>
      </w:r>
    </w:p>
    <w:p>
      <w:pPr/>
      <w:r>
        <w:rPr>
          <w:rFonts w:ascii="Calibri" w:hAnsi="Calibri" w:eastAsia="Microsoft YaHei"/>
          <w:sz w:val="22"/>
        </w:rPr>
        <w:t>解锁许可是关键安全功能。至少应满足：工具位于正确存放站、工具已由站位完全承托、末端载荷为零或在规定范围、载体运动停止、处于允许姿态、人员/区域条件满足、授权命令有效。任何锁定传感矛盾或通信中断都应停止换型并禁止离站。</w:t>
      </w:r>
    </w:p>
    <w:p>
      <w:pPr/>
      <w:r>
        <w:rPr>
          <w:rFonts w:ascii="Calibri" w:hAnsi="Calibri" w:eastAsia="Microsoft YaHei"/>
          <w:sz w:val="22"/>
        </w:rPr>
        <w:t>ISO 10218-2:2025 覆盖工业机器人应用与单元的集成、调试、运行、维护和退役[6]；末端快换作为集成部件，应纳入整机风险评估。若用于助力机械臂或其他非机器人载体，也可借鉴同样的系统边界思想，但必须结合适用法规和设备标准。</w:t>
      </w:r>
    </w:p>
    <w:p>
      <w:pPr>
        <w:pStyle w:val="Heading1"/>
      </w:pPr>
      <w:r>
        <w:rPr>
          <w:rFonts w:ascii="Calibri" w:hAnsi="Calibri" w:eastAsia="Microsoft YaHei"/>
        </w:rPr>
        <w:t>06 节拍、可用率与模块数量优化</w:t>
      </w:r>
    </w:p>
    <w:p>
      <w:pPr/>
      <w:r>
        <w:rPr>
          <w:rFonts w:ascii="Calibri" w:hAnsi="Calibri" w:eastAsia="Microsoft YaHei"/>
          <w:sz w:val="22"/>
        </w:rPr>
        <w:t>换型性能应使用总损失时间评价：</w:t>
      </w:r>
    </w:p>
    <w:p>
      <w:pPr>
        <w:pStyle w:val="AurekEquation"/>
        <w:spacing w:before="80" w:after="160"/>
        <w:jc w:val="center"/>
        <w:shd w:fill="EEF3F7"/>
      </w:pPr>
      <w:r>
        <w:rPr>
          <w:rFonts w:ascii="Consolas" w:hAnsi="Consolas" w:eastAsia="Microsoft YaHei"/>
          <w:color w:val="203748"/>
          <w:sz w:val="19"/>
        </w:rPr>
        <w:t>T_change,total = T_clear + T_return + T_dock + T_unlock + T_pick + T_lock + T_verify + T_recipe + T_first-piece</w:t>
      </w:r>
    </w:p>
    <w:p>
      <w:pPr/>
      <w:r>
        <w:rPr>
          <w:rFonts w:ascii="Calibri" w:hAnsi="Calibri" w:eastAsia="Microsoft YaHei"/>
          <w:sz w:val="22"/>
        </w:rPr>
        <w:t>只统计“锁紧动作时间”会低估实际换型损失。模块数量过少会增加复杂调节与误设风险，模块数量过多会提高投资、存放和维护负担。应基于车型组合、换型频率、节拍、可靠性、末端重量和维护库存进行多目标权衡。</w:t>
      </w:r>
    </w:p>
    <w:p>
      <w:pPr>
        <w:pStyle w:val="Heading2"/>
      </w:pPr>
      <w:r>
        <w:rPr>
          <w:rFonts w:ascii="Calibri" w:hAnsi="Calibri" w:eastAsia="Microsoft YaHei"/>
        </w:rPr>
        <w:t>06.1 示例决策矩阵</w:t>
      </w: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300"/>
        <w:gridCol w:w="1760"/>
        <w:gridCol w:w="2060"/>
        <w:gridCol w:w="2120"/>
        <w:gridCol w:w="2120"/>
      </w:tblGrid>
      <w:tr>
        <w:trPr>
          <w:cantSplit w:val="true"/>
          <w:tblHeader w:val="true"/>
        </w:trPr>
        <w:tc>
          <w:tcPr>
            <w:tcW w:type="dxa" w:w="1300"/>
            <w:shd w:fill="2E74B5"/>
            <w:vAlign w:val="center"/>
          </w:tcPr>
          <w:p>
            <w:pPr>
              <w:pStyle w:val="AurekTable"/>
              <w:jc w:val="center"/>
            </w:pPr>
            <w:r>
              <w:rPr>
                <w:rFonts w:ascii="Calibri" w:hAnsi="Calibri" w:eastAsia="Microsoft YaHei"/>
                <w:b/>
                <w:color w:val="FFFFFF"/>
                <w:sz w:val="18"/>
              </w:rPr>
              <w:t>方案</w:t>
            </w:r>
          </w:p>
        </w:tc>
        <w:tc>
          <w:tcPr>
            <w:tcW w:type="dxa" w:w="1760"/>
            <w:shd w:fill="2E74B5"/>
            <w:vAlign w:val="center"/>
          </w:tcPr>
          <w:p>
            <w:pPr>
              <w:pStyle w:val="AurekTable"/>
              <w:jc w:val="center"/>
            </w:pPr>
            <w:r>
              <w:rPr>
                <w:rFonts w:ascii="Calibri" w:hAnsi="Calibri" w:eastAsia="Microsoft YaHei"/>
                <w:b/>
                <w:color w:val="FFFFFF"/>
                <w:sz w:val="18"/>
              </w:rPr>
              <w:t>末端重量</w:t>
            </w:r>
          </w:p>
        </w:tc>
        <w:tc>
          <w:tcPr>
            <w:tcW w:type="dxa" w:w="2060"/>
            <w:shd w:fill="2E74B5"/>
            <w:vAlign w:val="center"/>
          </w:tcPr>
          <w:p>
            <w:pPr>
              <w:pStyle w:val="AurekTable"/>
              <w:jc w:val="center"/>
            </w:pPr>
            <w:r>
              <w:rPr>
                <w:rFonts w:ascii="Calibri" w:hAnsi="Calibri" w:eastAsia="Microsoft YaHei"/>
                <w:b/>
                <w:color w:val="FFFFFF"/>
                <w:sz w:val="18"/>
              </w:rPr>
              <w:t>换型时间</w:t>
            </w:r>
          </w:p>
        </w:tc>
        <w:tc>
          <w:tcPr>
            <w:tcW w:type="dxa" w:w="2120"/>
            <w:shd w:fill="2E74B5"/>
            <w:vAlign w:val="center"/>
          </w:tcPr>
          <w:p>
            <w:pPr>
              <w:pStyle w:val="AurekTable"/>
              <w:jc w:val="center"/>
            </w:pPr>
            <w:r>
              <w:rPr>
                <w:rFonts w:ascii="Calibri" w:hAnsi="Calibri" w:eastAsia="Microsoft YaHei"/>
                <w:b/>
                <w:color w:val="FFFFFF"/>
                <w:sz w:val="18"/>
              </w:rPr>
              <w:t>防错复杂度</w:t>
            </w:r>
          </w:p>
        </w:tc>
        <w:tc>
          <w:tcPr>
            <w:tcW w:type="dxa" w:w="2120"/>
            <w:shd w:fill="2E74B5"/>
            <w:vAlign w:val="center"/>
          </w:tcPr>
          <w:p>
            <w:pPr>
              <w:pStyle w:val="AurekTable"/>
              <w:jc w:val="center"/>
            </w:pPr>
            <w:r>
              <w:rPr>
                <w:rFonts w:ascii="Calibri" w:hAnsi="Calibri" w:eastAsia="Microsoft YaHei"/>
                <w:b/>
                <w:color w:val="FFFFFF"/>
                <w:sz w:val="18"/>
              </w:rPr>
              <w:t>适合条件</w:t>
            </w:r>
          </w:p>
        </w:tc>
      </w:tr>
      <w:tr>
        <w:trPr>
          <w:cantSplit w:val="true"/>
        </w:trPr>
        <w:tc>
          <w:tcPr>
            <w:tcW w:type="dxa" w:w="1300"/>
            <w:shd w:fill="F2F4F7"/>
            <w:vAlign w:val="center"/>
          </w:tcPr>
          <w:p>
            <w:pPr>
              <w:pStyle w:val="AurekTable"/>
              <w:jc w:val="left"/>
            </w:pPr>
            <w:r>
              <w:rPr>
                <w:rFonts w:ascii="Calibri" w:hAnsi="Calibri" w:eastAsia="Microsoft YaHei"/>
                <w:sz w:val="18"/>
              </w:rPr>
              <w:t>单一可调夹具</w:t>
            </w:r>
          </w:p>
        </w:tc>
        <w:tc>
          <w:tcPr>
            <w:tcW w:type="dxa" w:w="1760"/>
            <w:vAlign w:val="center"/>
          </w:tcPr>
          <w:p>
            <w:pPr>
              <w:pStyle w:val="AurekTable"/>
              <w:jc w:val="left"/>
            </w:pPr>
            <w:r>
              <w:rPr>
                <w:rFonts w:ascii="Calibri" w:hAnsi="Calibri" w:eastAsia="Microsoft YaHei"/>
                <w:sz w:val="18"/>
              </w:rPr>
              <w:t>高或中</w:t>
            </w:r>
          </w:p>
        </w:tc>
        <w:tc>
          <w:tcPr>
            <w:tcW w:type="dxa" w:w="2060"/>
            <w:vAlign w:val="center"/>
          </w:tcPr>
          <w:p>
            <w:pPr>
              <w:pStyle w:val="AurekTable"/>
              <w:jc w:val="left"/>
            </w:pPr>
            <w:r>
              <w:rPr>
                <w:rFonts w:ascii="Calibri" w:hAnsi="Calibri" w:eastAsia="Microsoft YaHei"/>
                <w:sz w:val="18"/>
              </w:rPr>
              <w:t>低</w:t>
            </w:r>
          </w:p>
        </w:tc>
        <w:tc>
          <w:tcPr>
            <w:tcW w:type="dxa" w:w="2120"/>
            <w:vAlign w:val="center"/>
          </w:tcPr>
          <w:p>
            <w:pPr>
              <w:pStyle w:val="AurekTable"/>
              <w:jc w:val="left"/>
            </w:pPr>
            <w:r>
              <w:rPr>
                <w:rFonts w:ascii="Calibri" w:hAnsi="Calibri" w:eastAsia="Microsoft YaHei"/>
                <w:sz w:val="18"/>
              </w:rPr>
              <w:t>调节位置防错较难</w:t>
            </w:r>
          </w:p>
        </w:tc>
        <w:tc>
          <w:tcPr>
            <w:tcW w:type="dxa" w:w="2120"/>
            <w:vAlign w:val="center"/>
          </w:tcPr>
          <w:p>
            <w:pPr>
              <w:pStyle w:val="AurekTable"/>
              <w:jc w:val="left"/>
            </w:pPr>
            <w:r>
              <w:rPr>
                <w:rFonts w:ascii="Calibri" w:hAnsi="Calibri" w:eastAsia="Microsoft YaHei"/>
                <w:sz w:val="18"/>
              </w:rPr>
              <w:t>零件差异小、换型频繁</w:t>
            </w:r>
          </w:p>
        </w:tc>
      </w:tr>
      <w:tr>
        <w:trPr>
          <w:cantSplit w:val="true"/>
        </w:trPr>
        <w:tc>
          <w:tcPr>
            <w:tcW w:type="dxa" w:w="1300"/>
            <w:shd w:fill="F2F4F7"/>
            <w:vAlign w:val="center"/>
          </w:tcPr>
          <w:p>
            <w:pPr>
              <w:pStyle w:val="AurekTable"/>
              <w:jc w:val="left"/>
            </w:pPr>
            <w:r>
              <w:rPr>
                <w:rFonts w:ascii="Calibri" w:hAnsi="Calibri" w:eastAsia="Microsoft YaHei"/>
                <w:sz w:val="18"/>
              </w:rPr>
              <w:t>共用本体 + 快换模块</w:t>
            </w:r>
          </w:p>
        </w:tc>
        <w:tc>
          <w:tcPr>
            <w:tcW w:type="dxa" w:w="1760"/>
            <w:vAlign w:val="center"/>
          </w:tcPr>
          <w:p>
            <w:pPr>
              <w:pStyle w:val="AurekTable"/>
              <w:jc w:val="left"/>
            </w:pPr>
            <w:r>
              <w:rPr>
                <w:rFonts w:ascii="Calibri" w:hAnsi="Calibri" w:eastAsia="Microsoft YaHei"/>
                <w:sz w:val="18"/>
              </w:rPr>
              <w:t>中</w:t>
            </w:r>
          </w:p>
        </w:tc>
        <w:tc>
          <w:tcPr>
            <w:tcW w:type="dxa" w:w="2060"/>
            <w:vAlign w:val="center"/>
          </w:tcPr>
          <w:p>
            <w:pPr>
              <w:pStyle w:val="AurekTable"/>
              <w:jc w:val="left"/>
            </w:pPr>
            <w:r>
              <w:rPr>
                <w:rFonts w:ascii="Calibri" w:hAnsi="Calibri" w:eastAsia="Microsoft YaHei"/>
                <w:sz w:val="18"/>
              </w:rPr>
              <w:t>中/低</w:t>
            </w:r>
          </w:p>
        </w:tc>
        <w:tc>
          <w:tcPr>
            <w:tcW w:type="dxa" w:w="2120"/>
            <w:vAlign w:val="center"/>
          </w:tcPr>
          <w:p>
            <w:pPr>
              <w:pStyle w:val="AurekTable"/>
              <w:jc w:val="left"/>
            </w:pPr>
            <w:r>
              <w:rPr>
                <w:rFonts w:ascii="Calibri" w:hAnsi="Calibri" w:eastAsia="Microsoft YaHei"/>
                <w:sz w:val="18"/>
              </w:rPr>
              <w:t>接口和身份防错清晰</w:t>
            </w:r>
          </w:p>
        </w:tc>
        <w:tc>
          <w:tcPr>
            <w:tcW w:type="dxa" w:w="2120"/>
            <w:vAlign w:val="center"/>
          </w:tcPr>
          <w:p>
            <w:pPr>
              <w:pStyle w:val="AurekTable"/>
              <w:jc w:val="left"/>
            </w:pPr>
            <w:r>
              <w:rPr>
                <w:rFonts w:ascii="Calibri" w:hAnsi="Calibri" w:eastAsia="Microsoft YaHei"/>
                <w:sz w:val="18"/>
              </w:rPr>
              <w:t>功能可模块化、车型较多</w:t>
            </w:r>
          </w:p>
        </w:tc>
      </w:tr>
      <w:tr>
        <w:trPr>
          <w:cantSplit w:val="true"/>
        </w:trPr>
        <w:tc>
          <w:tcPr>
            <w:tcW w:type="dxa" w:w="1300"/>
            <w:shd w:fill="F2F4F7"/>
            <w:vAlign w:val="center"/>
          </w:tcPr>
          <w:p>
            <w:pPr>
              <w:pStyle w:val="AurekTable"/>
              <w:jc w:val="left"/>
            </w:pPr>
            <w:r>
              <w:rPr>
                <w:rFonts w:ascii="Calibri" w:hAnsi="Calibri" w:eastAsia="Microsoft YaHei"/>
                <w:sz w:val="18"/>
              </w:rPr>
              <w:t>多套完整夹具</w:t>
            </w:r>
          </w:p>
        </w:tc>
        <w:tc>
          <w:tcPr>
            <w:tcW w:type="dxa" w:w="1760"/>
            <w:vAlign w:val="center"/>
          </w:tcPr>
          <w:p>
            <w:pPr>
              <w:pStyle w:val="AurekTable"/>
              <w:jc w:val="left"/>
            </w:pPr>
            <w:r>
              <w:rPr>
                <w:rFonts w:ascii="Calibri" w:hAnsi="Calibri" w:eastAsia="Microsoft YaHei"/>
                <w:sz w:val="18"/>
              </w:rPr>
              <w:t>低/中</w:t>
            </w:r>
          </w:p>
        </w:tc>
        <w:tc>
          <w:tcPr>
            <w:tcW w:type="dxa" w:w="2060"/>
            <w:vAlign w:val="center"/>
          </w:tcPr>
          <w:p>
            <w:pPr>
              <w:pStyle w:val="AurekTable"/>
              <w:jc w:val="left"/>
            </w:pPr>
            <w:r>
              <w:rPr>
                <w:rFonts w:ascii="Calibri" w:hAnsi="Calibri" w:eastAsia="Microsoft YaHei"/>
                <w:sz w:val="18"/>
              </w:rPr>
              <w:t>中</w:t>
            </w:r>
          </w:p>
        </w:tc>
        <w:tc>
          <w:tcPr>
            <w:tcW w:type="dxa" w:w="2120"/>
            <w:vAlign w:val="center"/>
          </w:tcPr>
          <w:p>
            <w:pPr>
              <w:pStyle w:val="AurekTable"/>
              <w:jc w:val="left"/>
            </w:pPr>
            <w:r>
              <w:rPr>
                <w:rFonts w:ascii="Calibri" w:hAnsi="Calibri" w:eastAsia="Microsoft YaHei"/>
                <w:sz w:val="18"/>
              </w:rPr>
              <w:t>工具选择防错为主</w:t>
            </w:r>
          </w:p>
        </w:tc>
        <w:tc>
          <w:tcPr>
            <w:tcW w:type="dxa" w:w="2120"/>
            <w:vAlign w:val="center"/>
          </w:tcPr>
          <w:p>
            <w:pPr>
              <w:pStyle w:val="AurekTable"/>
              <w:jc w:val="left"/>
            </w:pPr>
            <w:r>
              <w:rPr>
                <w:rFonts w:ascii="Calibri" w:hAnsi="Calibri" w:eastAsia="Microsoft YaHei"/>
                <w:sz w:val="18"/>
              </w:rPr>
              <w:t>差异大、单模块价值高</w:t>
            </w:r>
          </w:p>
        </w:tc>
      </w:tr>
      <w:tr>
        <w:trPr>
          <w:cantSplit w:val="true"/>
        </w:trPr>
        <w:tc>
          <w:tcPr>
            <w:tcW w:type="dxa" w:w="1300"/>
            <w:shd w:fill="F2F4F7"/>
            <w:vAlign w:val="center"/>
          </w:tcPr>
          <w:p>
            <w:pPr>
              <w:pStyle w:val="AurekTable"/>
              <w:jc w:val="left"/>
            </w:pPr>
            <w:r>
              <w:rPr>
                <w:rFonts w:ascii="Calibri" w:hAnsi="Calibri" w:eastAsia="Microsoft YaHei"/>
                <w:sz w:val="18"/>
              </w:rPr>
              <w:t>独立设备</w:t>
            </w:r>
          </w:p>
        </w:tc>
        <w:tc>
          <w:tcPr>
            <w:tcW w:type="dxa" w:w="1760"/>
            <w:vAlign w:val="center"/>
          </w:tcPr>
          <w:p>
            <w:pPr>
              <w:pStyle w:val="AurekTable"/>
              <w:jc w:val="left"/>
            </w:pPr>
            <w:r>
              <w:rPr>
                <w:rFonts w:ascii="Calibri" w:hAnsi="Calibri" w:eastAsia="Microsoft YaHei"/>
                <w:sz w:val="18"/>
              </w:rPr>
              <w:t>按工位优化</w:t>
            </w:r>
          </w:p>
        </w:tc>
        <w:tc>
          <w:tcPr>
            <w:tcW w:type="dxa" w:w="2060"/>
            <w:vAlign w:val="center"/>
          </w:tcPr>
          <w:p>
            <w:pPr>
              <w:pStyle w:val="AurekTable"/>
              <w:jc w:val="left"/>
            </w:pPr>
            <w:r>
              <w:rPr>
                <w:rFonts w:ascii="Calibri" w:hAnsi="Calibri" w:eastAsia="Microsoft YaHei"/>
                <w:sz w:val="18"/>
              </w:rPr>
              <w:t>无共线换型</w:t>
            </w:r>
          </w:p>
        </w:tc>
        <w:tc>
          <w:tcPr>
            <w:tcW w:type="dxa" w:w="2120"/>
            <w:vAlign w:val="center"/>
          </w:tcPr>
          <w:p>
            <w:pPr>
              <w:pStyle w:val="AurekTable"/>
              <w:jc w:val="left"/>
            </w:pPr>
            <w:r>
              <w:rPr>
                <w:rFonts w:ascii="Calibri" w:hAnsi="Calibri" w:eastAsia="Microsoft YaHei"/>
                <w:sz w:val="18"/>
              </w:rPr>
              <w:t>系统边界最清晰</w:t>
            </w:r>
          </w:p>
        </w:tc>
        <w:tc>
          <w:tcPr>
            <w:tcW w:type="dxa" w:w="2120"/>
            <w:vAlign w:val="center"/>
          </w:tcPr>
          <w:p>
            <w:pPr>
              <w:pStyle w:val="AurekTable"/>
              <w:jc w:val="left"/>
            </w:pPr>
            <w:r>
              <w:rPr>
                <w:rFonts w:ascii="Calibri" w:hAnsi="Calibri" w:eastAsia="Microsoft YaHei"/>
                <w:sz w:val="18"/>
              </w:rPr>
              <w:t>载荷/风险/路径差异很大</w:t>
            </w:r>
          </w:p>
        </w:tc>
      </w:tr>
    </w:tbl>
    <w:p>
      <w:pPr>
        <w:spacing w:after="40"/>
      </w:pPr>
    </w:p>
    <w:p>
      <w:pPr/>
      <w:r>
        <w:rPr>
          <w:rFonts w:ascii="Calibri" w:hAnsi="Calibri" w:eastAsia="Microsoft YaHei"/>
          <w:sz w:val="22"/>
        </w:rPr>
        <w:t>决策时还应计算换型故障的恢复时间和首次合格率。一个标称换型快但经常需要重新插接、重新校准或人工绕过报警的方案，整体可用率可能更低。</w:t>
      </w:r>
    </w:p>
    <w:p>
      <w:pPr>
        <w:pStyle w:val="Heading1"/>
      </w:pPr>
      <w:r>
        <w:rPr>
          <w:rFonts w:ascii="Calibri" w:hAnsi="Calibri" w:eastAsia="Microsoft YaHei"/>
        </w:rPr>
        <w:t>07 验证矩阵与 FMEA</w:t>
      </w: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500"/>
        <w:gridCol w:w="2160"/>
        <w:gridCol w:w="2700"/>
        <w:gridCol w:w="3000"/>
      </w:tblGrid>
      <w:tr>
        <w:trPr>
          <w:cantSplit w:val="true"/>
          <w:tblHeader w:val="true"/>
        </w:trPr>
        <w:tc>
          <w:tcPr>
            <w:tcW w:type="dxa" w:w="1500"/>
            <w:shd w:fill="2E74B5"/>
            <w:vAlign w:val="center"/>
          </w:tcPr>
          <w:p>
            <w:pPr>
              <w:pStyle w:val="AurekTable"/>
              <w:jc w:val="center"/>
            </w:pPr>
            <w:r>
              <w:rPr>
                <w:rFonts w:ascii="Calibri" w:hAnsi="Calibri" w:eastAsia="Microsoft YaHei"/>
                <w:b/>
                <w:color w:val="FFFFFF"/>
                <w:sz w:val="18"/>
              </w:rPr>
              <w:t>验证项目</w:t>
            </w:r>
          </w:p>
        </w:tc>
        <w:tc>
          <w:tcPr>
            <w:tcW w:type="dxa" w:w="2160"/>
            <w:shd w:fill="2E74B5"/>
            <w:vAlign w:val="center"/>
          </w:tcPr>
          <w:p>
            <w:pPr>
              <w:pStyle w:val="AurekTable"/>
              <w:jc w:val="center"/>
            </w:pPr>
            <w:r>
              <w:rPr>
                <w:rFonts w:ascii="Calibri" w:hAnsi="Calibri" w:eastAsia="Microsoft YaHei"/>
                <w:b/>
                <w:color w:val="FFFFFF"/>
                <w:sz w:val="18"/>
              </w:rPr>
              <w:t>测试条件</w:t>
            </w:r>
          </w:p>
        </w:tc>
        <w:tc>
          <w:tcPr>
            <w:tcW w:type="dxa" w:w="2700"/>
            <w:shd w:fill="2E74B5"/>
            <w:vAlign w:val="center"/>
          </w:tcPr>
          <w:p>
            <w:pPr>
              <w:pStyle w:val="AurekTable"/>
              <w:jc w:val="center"/>
            </w:pPr>
            <w:r>
              <w:rPr>
                <w:rFonts w:ascii="Calibri" w:hAnsi="Calibri" w:eastAsia="Microsoft YaHei"/>
                <w:b/>
                <w:color w:val="FFFFFF"/>
                <w:sz w:val="18"/>
              </w:rPr>
              <w:t>记录</w:t>
            </w:r>
          </w:p>
        </w:tc>
        <w:tc>
          <w:tcPr>
            <w:tcW w:type="dxa" w:w="3000"/>
            <w:shd w:fill="2E74B5"/>
            <w:vAlign w:val="center"/>
          </w:tcPr>
          <w:p>
            <w:pPr>
              <w:pStyle w:val="AurekTable"/>
              <w:jc w:val="center"/>
            </w:pPr>
            <w:r>
              <w:rPr>
                <w:rFonts w:ascii="Calibri" w:hAnsi="Calibri" w:eastAsia="Microsoft YaHei"/>
                <w:b/>
                <w:color w:val="FFFFFF"/>
                <w:sz w:val="18"/>
              </w:rPr>
              <w:t>放行逻辑</w:t>
            </w:r>
          </w:p>
        </w:tc>
      </w:tr>
      <w:tr>
        <w:trPr>
          <w:cantSplit w:val="true"/>
        </w:trPr>
        <w:tc>
          <w:tcPr>
            <w:tcW w:type="dxa" w:w="1500"/>
            <w:shd w:fill="F2F4F7"/>
            <w:vAlign w:val="center"/>
          </w:tcPr>
          <w:p>
            <w:pPr>
              <w:pStyle w:val="AurekTable"/>
              <w:jc w:val="left"/>
            </w:pPr>
            <w:r>
              <w:rPr>
                <w:rFonts w:ascii="Calibri" w:hAnsi="Calibri" w:eastAsia="Microsoft YaHei"/>
                <w:sz w:val="18"/>
              </w:rPr>
              <w:t>重复定位</w:t>
            </w:r>
          </w:p>
        </w:tc>
        <w:tc>
          <w:tcPr>
            <w:tcW w:type="dxa" w:w="2160"/>
            <w:vAlign w:val="center"/>
          </w:tcPr>
          <w:p>
            <w:pPr>
              <w:pStyle w:val="AurekTable"/>
              <w:jc w:val="left"/>
            </w:pPr>
            <w:r>
              <w:rPr>
                <w:rFonts w:ascii="Calibri" w:hAnsi="Calibri" w:eastAsia="Microsoft YaHei"/>
                <w:sz w:val="18"/>
              </w:rPr>
              <w:t>多次换装、温度与寿命节点</w:t>
            </w:r>
          </w:p>
        </w:tc>
        <w:tc>
          <w:tcPr>
            <w:tcW w:type="dxa" w:w="2700"/>
            <w:vAlign w:val="center"/>
          </w:tcPr>
          <w:p>
            <w:pPr>
              <w:pStyle w:val="AurekTable"/>
              <w:jc w:val="left"/>
            </w:pPr>
            <w:r>
              <w:rPr>
                <w:rFonts w:ascii="Calibri" w:hAnsi="Calibri" w:eastAsia="Microsoft YaHei"/>
                <w:sz w:val="18"/>
              </w:rPr>
              <w:t>TCP/基准偏差</w:t>
            </w:r>
          </w:p>
        </w:tc>
        <w:tc>
          <w:tcPr>
            <w:tcW w:type="dxa" w:w="3000"/>
            <w:vAlign w:val="center"/>
          </w:tcPr>
          <w:p>
            <w:pPr>
              <w:pStyle w:val="AurekTable"/>
              <w:jc w:val="left"/>
            </w:pPr>
            <w:r>
              <w:rPr>
                <w:rFonts w:ascii="Calibri" w:hAnsi="Calibri" w:eastAsia="Microsoft YaHei"/>
                <w:sz w:val="18"/>
              </w:rPr>
              <w:t>满足工艺公差且趋势稳定</w:t>
            </w:r>
          </w:p>
        </w:tc>
      </w:tr>
      <w:tr>
        <w:trPr>
          <w:cantSplit w:val="true"/>
        </w:trPr>
        <w:tc>
          <w:tcPr>
            <w:tcW w:type="dxa" w:w="1500"/>
            <w:shd w:fill="F2F4F7"/>
            <w:vAlign w:val="center"/>
          </w:tcPr>
          <w:p>
            <w:pPr>
              <w:pStyle w:val="AurekTable"/>
              <w:jc w:val="left"/>
            </w:pPr>
            <w:r>
              <w:rPr>
                <w:rFonts w:ascii="Calibri" w:hAnsi="Calibri" w:eastAsia="Microsoft YaHei"/>
                <w:sz w:val="18"/>
              </w:rPr>
              <w:t>锁止承载</w:t>
            </w:r>
          </w:p>
        </w:tc>
        <w:tc>
          <w:tcPr>
            <w:tcW w:type="dxa" w:w="2160"/>
            <w:vAlign w:val="center"/>
          </w:tcPr>
          <w:p>
            <w:pPr>
              <w:pStyle w:val="AurekTable"/>
              <w:jc w:val="left"/>
            </w:pPr>
            <w:r>
              <w:rPr>
                <w:rFonts w:ascii="Calibri" w:hAnsi="Calibri" w:eastAsia="Microsoft YaHei"/>
                <w:sz w:val="18"/>
              </w:rPr>
              <w:t>最大六分量与急停</w:t>
            </w:r>
          </w:p>
        </w:tc>
        <w:tc>
          <w:tcPr>
            <w:tcW w:type="dxa" w:w="2700"/>
            <w:vAlign w:val="center"/>
          </w:tcPr>
          <w:p>
            <w:pPr>
              <w:pStyle w:val="AurekTable"/>
              <w:jc w:val="left"/>
            </w:pPr>
            <w:r>
              <w:rPr>
                <w:rFonts w:ascii="Calibri" w:hAnsi="Calibri" w:eastAsia="Microsoft YaHei"/>
                <w:sz w:val="18"/>
              </w:rPr>
              <w:t>位移、锁状态、结构应变</w:t>
            </w:r>
          </w:p>
        </w:tc>
        <w:tc>
          <w:tcPr>
            <w:tcW w:type="dxa" w:w="3000"/>
            <w:vAlign w:val="center"/>
          </w:tcPr>
          <w:p>
            <w:pPr>
              <w:pStyle w:val="AurekTable"/>
              <w:jc w:val="left"/>
            </w:pPr>
            <w:r>
              <w:rPr>
                <w:rFonts w:ascii="Calibri" w:hAnsi="Calibri" w:eastAsia="Microsoft YaHei"/>
                <w:sz w:val="18"/>
              </w:rPr>
              <w:t>不解锁、不超结构限值</w:t>
            </w:r>
          </w:p>
        </w:tc>
      </w:tr>
      <w:tr>
        <w:trPr>
          <w:cantSplit w:val="true"/>
        </w:trPr>
        <w:tc>
          <w:tcPr>
            <w:tcW w:type="dxa" w:w="1500"/>
            <w:shd w:fill="F2F4F7"/>
            <w:vAlign w:val="center"/>
          </w:tcPr>
          <w:p>
            <w:pPr>
              <w:pStyle w:val="AurekTable"/>
              <w:jc w:val="left"/>
            </w:pPr>
            <w:r>
              <w:rPr>
                <w:rFonts w:ascii="Calibri" w:hAnsi="Calibri" w:eastAsia="Microsoft YaHei"/>
                <w:sz w:val="18"/>
              </w:rPr>
              <w:t>失压/断电</w:t>
            </w:r>
          </w:p>
        </w:tc>
        <w:tc>
          <w:tcPr>
            <w:tcW w:type="dxa" w:w="2160"/>
            <w:vAlign w:val="center"/>
          </w:tcPr>
          <w:p>
            <w:pPr>
              <w:pStyle w:val="AurekTable"/>
              <w:jc w:val="left"/>
            </w:pPr>
            <w:r>
              <w:rPr>
                <w:rFonts w:ascii="Calibri" w:hAnsi="Calibri" w:eastAsia="Microsoft YaHei"/>
                <w:sz w:val="18"/>
              </w:rPr>
              <w:t>锁紧后与运动中</w:t>
            </w:r>
          </w:p>
        </w:tc>
        <w:tc>
          <w:tcPr>
            <w:tcW w:type="dxa" w:w="2700"/>
            <w:vAlign w:val="center"/>
          </w:tcPr>
          <w:p>
            <w:pPr>
              <w:pStyle w:val="AurekTable"/>
              <w:jc w:val="left"/>
            </w:pPr>
            <w:r>
              <w:rPr>
                <w:rFonts w:ascii="Calibri" w:hAnsi="Calibri" w:eastAsia="Microsoft YaHei"/>
                <w:sz w:val="18"/>
              </w:rPr>
              <w:t>工具位移、控制状态</w:t>
            </w:r>
          </w:p>
        </w:tc>
        <w:tc>
          <w:tcPr>
            <w:tcW w:type="dxa" w:w="3000"/>
            <w:vAlign w:val="center"/>
          </w:tcPr>
          <w:p>
            <w:pPr>
              <w:pStyle w:val="AurekTable"/>
              <w:jc w:val="left"/>
            </w:pPr>
            <w:r>
              <w:rPr>
                <w:rFonts w:ascii="Calibri" w:hAnsi="Calibri" w:eastAsia="Microsoft YaHei"/>
                <w:sz w:val="18"/>
              </w:rPr>
              <w:t>不脱落，停止并可恢复</w:t>
            </w:r>
          </w:p>
        </w:tc>
      </w:tr>
      <w:tr>
        <w:trPr>
          <w:cantSplit w:val="true"/>
        </w:trPr>
        <w:tc>
          <w:tcPr>
            <w:tcW w:type="dxa" w:w="1500"/>
            <w:shd w:fill="F2F4F7"/>
            <w:vAlign w:val="center"/>
          </w:tcPr>
          <w:p>
            <w:pPr>
              <w:pStyle w:val="AurekTable"/>
              <w:jc w:val="left"/>
            </w:pPr>
            <w:r>
              <w:rPr>
                <w:rFonts w:ascii="Calibri" w:hAnsi="Calibri" w:eastAsia="Microsoft YaHei"/>
                <w:sz w:val="18"/>
              </w:rPr>
              <w:t>半锁/异物</w:t>
            </w:r>
          </w:p>
        </w:tc>
        <w:tc>
          <w:tcPr>
            <w:tcW w:type="dxa" w:w="2160"/>
            <w:vAlign w:val="center"/>
          </w:tcPr>
          <w:p>
            <w:pPr>
              <w:pStyle w:val="AurekTable"/>
              <w:jc w:val="left"/>
            </w:pPr>
            <w:r>
              <w:rPr>
                <w:rFonts w:ascii="Calibri" w:hAnsi="Calibri" w:eastAsia="Microsoft YaHei"/>
                <w:sz w:val="18"/>
              </w:rPr>
              <w:t>规定间隙和污染</w:t>
            </w:r>
          </w:p>
        </w:tc>
        <w:tc>
          <w:tcPr>
            <w:tcW w:type="dxa" w:w="2700"/>
            <w:vAlign w:val="center"/>
          </w:tcPr>
          <w:p>
            <w:pPr>
              <w:pStyle w:val="AurekTable"/>
              <w:jc w:val="left"/>
            </w:pPr>
            <w:r>
              <w:rPr>
                <w:rFonts w:ascii="Calibri" w:hAnsi="Calibri" w:eastAsia="Microsoft YaHei"/>
                <w:sz w:val="18"/>
              </w:rPr>
              <w:t>锁/解锁/存在信号</w:t>
            </w:r>
          </w:p>
        </w:tc>
        <w:tc>
          <w:tcPr>
            <w:tcW w:type="dxa" w:w="3000"/>
            <w:vAlign w:val="center"/>
          </w:tcPr>
          <w:p>
            <w:pPr>
              <w:pStyle w:val="AurekTable"/>
              <w:jc w:val="left"/>
            </w:pPr>
            <w:r>
              <w:rPr>
                <w:rFonts w:ascii="Calibri" w:hAnsi="Calibri" w:eastAsia="Microsoft YaHei"/>
                <w:sz w:val="18"/>
              </w:rPr>
              <w:t>不允许离站或生产</w:t>
            </w:r>
          </w:p>
        </w:tc>
      </w:tr>
      <w:tr>
        <w:trPr>
          <w:cantSplit w:val="true"/>
        </w:trPr>
        <w:tc>
          <w:tcPr>
            <w:tcW w:type="dxa" w:w="1500"/>
            <w:shd w:fill="F2F4F7"/>
            <w:vAlign w:val="center"/>
          </w:tcPr>
          <w:p>
            <w:pPr>
              <w:pStyle w:val="AurekTable"/>
              <w:jc w:val="left"/>
            </w:pPr>
            <w:r>
              <w:rPr>
                <w:rFonts w:ascii="Calibri" w:hAnsi="Calibri" w:eastAsia="Microsoft YaHei"/>
                <w:sz w:val="18"/>
              </w:rPr>
              <w:t>错工具/错配方</w:t>
            </w:r>
          </w:p>
        </w:tc>
        <w:tc>
          <w:tcPr>
            <w:tcW w:type="dxa" w:w="2160"/>
            <w:vAlign w:val="center"/>
          </w:tcPr>
          <w:p>
            <w:pPr>
              <w:pStyle w:val="AurekTable"/>
              <w:jc w:val="left"/>
            </w:pPr>
            <w:r>
              <w:rPr>
                <w:rFonts w:ascii="Calibri" w:hAnsi="Calibri" w:eastAsia="Microsoft YaHei"/>
                <w:sz w:val="18"/>
              </w:rPr>
              <w:t>全部无效组合</w:t>
            </w:r>
          </w:p>
        </w:tc>
        <w:tc>
          <w:tcPr>
            <w:tcW w:type="dxa" w:w="2700"/>
            <w:vAlign w:val="center"/>
          </w:tcPr>
          <w:p>
            <w:pPr>
              <w:pStyle w:val="AurekTable"/>
              <w:jc w:val="left"/>
            </w:pPr>
            <w:r>
              <w:rPr>
                <w:rFonts w:ascii="Calibri" w:hAnsi="Calibri" w:eastAsia="Microsoft YaHei"/>
                <w:sz w:val="18"/>
              </w:rPr>
              <w:t>ID、联锁、报警</w:t>
            </w:r>
          </w:p>
        </w:tc>
        <w:tc>
          <w:tcPr>
            <w:tcW w:type="dxa" w:w="3000"/>
            <w:vAlign w:val="center"/>
          </w:tcPr>
          <w:p>
            <w:pPr>
              <w:pStyle w:val="AurekTable"/>
              <w:jc w:val="left"/>
            </w:pPr>
            <w:r>
              <w:rPr>
                <w:rFonts w:ascii="Calibri" w:hAnsi="Calibri" w:eastAsia="Microsoft YaHei"/>
                <w:sz w:val="18"/>
              </w:rPr>
              <w:t>均被拒绝且提示明确</w:t>
            </w:r>
          </w:p>
        </w:tc>
      </w:tr>
      <w:tr>
        <w:trPr>
          <w:cantSplit w:val="true"/>
        </w:trPr>
        <w:tc>
          <w:tcPr>
            <w:tcW w:type="dxa" w:w="1500"/>
            <w:shd w:fill="F2F4F7"/>
            <w:vAlign w:val="center"/>
          </w:tcPr>
          <w:p>
            <w:pPr>
              <w:pStyle w:val="AurekTable"/>
              <w:jc w:val="left"/>
            </w:pPr>
            <w:r>
              <w:rPr>
                <w:rFonts w:ascii="Calibri" w:hAnsi="Calibri" w:eastAsia="Microsoft YaHei"/>
                <w:sz w:val="18"/>
              </w:rPr>
              <w:t>介质连接</w:t>
            </w:r>
          </w:p>
        </w:tc>
        <w:tc>
          <w:tcPr>
            <w:tcW w:type="dxa" w:w="2160"/>
            <w:vAlign w:val="center"/>
          </w:tcPr>
          <w:p>
            <w:pPr>
              <w:pStyle w:val="AurekTable"/>
              <w:jc w:val="left"/>
            </w:pPr>
            <w:r>
              <w:rPr>
                <w:rFonts w:ascii="Calibri" w:hAnsi="Calibri" w:eastAsia="Microsoft YaHei"/>
                <w:sz w:val="18"/>
              </w:rPr>
              <w:t>最大流量、真空、通信负载</w:t>
            </w:r>
          </w:p>
        </w:tc>
        <w:tc>
          <w:tcPr>
            <w:tcW w:type="dxa" w:w="2700"/>
            <w:vAlign w:val="center"/>
          </w:tcPr>
          <w:p>
            <w:pPr>
              <w:pStyle w:val="AurekTable"/>
              <w:jc w:val="left"/>
            </w:pPr>
            <w:r>
              <w:rPr>
                <w:rFonts w:ascii="Calibri" w:hAnsi="Calibri" w:eastAsia="Microsoft YaHei"/>
                <w:sz w:val="18"/>
              </w:rPr>
              <w:t>泄漏、压降、报文与温升</w:t>
            </w:r>
          </w:p>
        </w:tc>
        <w:tc>
          <w:tcPr>
            <w:tcW w:type="dxa" w:w="3000"/>
            <w:vAlign w:val="center"/>
          </w:tcPr>
          <w:p>
            <w:pPr>
              <w:pStyle w:val="AurekTable"/>
              <w:jc w:val="left"/>
            </w:pPr>
            <w:r>
              <w:rPr>
                <w:rFonts w:ascii="Calibri" w:hAnsi="Calibri" w:eastAsia="Microsoft YaHei"/>
                <w:sz w:val="18"/>
              </w:rPr>
              <w:t>满足功能和故障诊断</w:t>
            </w:r>
          </w:p>
        </w:tc>
      </w:tr>
      <w:tr>
        <w:trPr>
          <w:cantSplit w:val="true"/>
        </w:trPr>
        <w:tc>
          <w:tcPr>
            <w:tcW w:type="dxa" w:w="1500"/>
            <w:shd w:fill="F2F4F7"/>
            <w:vAlign w:val="center"/>
          </w:tcPr>
          <w:p>
            <w:pPr>
              <w:pStyle w:val="AurekTable"/>
              <w:jc w:val="left"/>
            </w:pPr>
            <w:r>
              <w:rPr>
                <w:rFonts w:ascii="Calibri" w:hAnsi="Calibri" w:eastAsia="Microsoft YaHei"/>
                <w:sz w:val="18"/>
              </w:rPr>
              <w:t>耐久后复测</w:t>
            </w:r>
          </w:p>
        </w:tc>
        <w:tc>
          <w:tcPr>
            <w:tcW w:type="dxa" w:w="2160"/>
            <w:vAlign w:val="center"/>
          </w:tcPr>
          <w:p>
            <w:pPr>
              <w:pStyle w:val="AurekTable"/>
              <w:jc w:val="left"/>
            </w:pPr>
            <w:r>
              <w:rPr>
                <w:rFonts w:ascii="Calibri" w:hAnsi="Calibri" w:eastAsia="Microsoft YaHei"/>
                <w:sz w:val="18"/>
              </w:rPr>
              <w:t>代表性换型循环</w:t>
            </w:r>
          </w:p>
        </w:tc>
        <w:tc>
          <w:tcPr>
            <w:tcW w:type="dxa" w:w="2700"/>
            <w:vAlign w:val="center"/>
          </w:tcPr>
          <w:p>
            <w:pPr>
              <w:pStyle w:val="AurekTable"/>
              <w:jc w:val="left"/>
            </w:pPr>
            <w:r>
              <w:rPr>
                <w:rFonts w:ascii="Calibri" w:hAnsi="Calibri" w:eastAsia="Microsoft YaHei"/>
                <w:sz w:val="18"/>
              </w:rPr>
              <w:t>定位、锁力、密封、触点</w:t>
            </w:r>
          </w:p>
        </w:tc>
        <w:tc>
          <w:tcPr>
            <w:tcW w:type="dxa" w:w="3000"/>
            <w:vAlign w:val="center"/>
          </w:tcPr>
          <w:p>
            <w:pPr>
              <w:pStyle w:val="AurekTable"/>
              <w:jc w:val="left"/>
            </w:pPr>
            <w:r>
              <w:rPr>
                <w:rFonts w:ascii="Calibri" w:hAnsi="Calibri" w:eastAsia="Microsoft YaHei"/>
                <w:sz w:val="18"/>
              </w:rPr>
              <w:t>达到维护边界前可监测</w:t>
            </w:r>
          </w:p>
        </w:tc>
      </w:tr>
      <w:tr>
        <w:trPr>
          <w:cantSplit w:val="true"/>
        </w:trPr>
        <w:tc>
          <w:tcPr>
            <w:tcW w:type="dxa" w:w="1500"/>
            <w:shd w:fill="F2F4F7"/>
            <w:vAlign w:val="center"/>
          </w:tcPr>
          <w:p>
            <w:pPr>
              <w:pStyle w:val="AurekTable"/>
              <w:jc w:val="left"/>
            </w:pPr>
            <w:r>
              <w:rPr>
                <w:rFonts w:ascii="Calibri" w:hAnsi="Calibri" w:eastAsia="Microsoft YaHei"/>
                <w:sz w:val="18"/>
              </w:rPr>
              <w:t>异常恢复</w:t>
            </w:r>
          </w:p>
        </w:tc>
        <w:tc>
          <w:tcPr>
            <w:tcW w:type="dxa" w:w="2160"/>
            <w:vAlign w:val="center"/>
          </w:tcPr>
          <w:p>
            <w:pPr>
              <w:pStyle w:val="AurekTable"/>
              <w:jc w:val="left"/>
            </w:pPr>
            <w:r>
              <w:rPr>
                <w:rFonts w:ascii="Calibri" w:hAnsi="Calibri" w:eastAsia="Microsoft YaHei"/>
                <w:sz w:val="18"/>
              </w:rPr>
              <w:t>断网、卡滞、站位损坏</w:t>
            </w:r>
          </w:p>
        </w:tc>
        <w:tc>
          <w:tcPr>
            <w:tcW w:type="dxa" w:w="2700"/>
            <w:vAlign w:val="center"/>
          </w:tcPr>
          <w:p>
            <w:pPr>
              <w:pStyle w:val="AurekTable"/>
              <w:jc w:val="left"/>
            </w:pPr>
            <w:r>
              <w:rPr>
                <w:rFonts w:ascii="Calibri" w:hAnsi="Calibri" w:eastAsia="Microsoft YaHei"/>
                <w:sz w:val="18"/>
              </w:rPr>
              <w:t>步骤、权限、时间</w:t>
            </w:r>
          </w:p>
        </w:tc>
        <w:tc>
          <w:tcPr>
            <w:tcW w:type="dxa" w:w="3000"/>
            <w:vAlign w:val="center"/>
          </w:tcPr>
          <w:p>
            <w:pPr>
              <w:pStyle w:val="AurekTable"/>
              <w:jc w:val="left"/>
            </w:pPr>
            <w:r>
              <w:rPr>
                <w:rFonts w:ascii="Calibri" w:hAnsi="Calibri" w:eastAsia="Microsoft YaHei"/>
                <w:sz w:val="18"/>
              </w:rPr>
              <w:t>无危险绕过，状态可追溯</w:t>
            </w:r>
          </w:p>
        </w:tc>
      </w:tr>
    </w:tbl>
    <w:p>
      <w:pPr>
        <w:spacing w:after="40"/>
      </w:pPr>
    </w:p>
    <w:tbl>
      <w:tblPr>
        <w:tblStyle w:val="TableGrid"/>
        <w:tblLook w:firstColumn="1" w:firstRow="1" w:lastColumn="0" w:lastRow="0" w:noHBand="0" w:noVBand="1" w:val="04A0"/>
        <w:tblW w:w="9360" w:type="dxa"/>
        <w:tblInd w:w="120" w:type="dxa"/>
        <w:tblLayout w:type="fixed"/>
        <w:tblCellMar>
          <w:top w:w="80" w:type="dxa"/>
          <w:start w:w="120" w:type="dxa"/>
          <w:bottom w:w="80" w:type="dxa"/>
          <w:end w:w="120" w:type="dxa"/>
        </w:tblCellMar>
      </w:tblPr>
      <w:tblGrid>
        <w:gridCol w:w="1500"/>
        <w:gridCol w:w="2160"/>
        <w:gridCol w:w="2700"/>
        <w:gridCol w:w="3000"/>
      </w:tblGrid>
      <w:tr>
        <w:trPr>
          <w:cantSplit w:val="true"/>
          <w:tblHeader w:val="true"/>
        </w:trPr>
        <w:tc>
          <w:tcPr>
            <w:tcW w:type="dxa" w:w="1500"/>
            <w:shd w:fill="2E74B5"/>
            <w:vAlign w:val="center"/>
          </w:tcPr>
          <w:p>
            <w:pPr>
              <w:pStyle w:val="AurekTable"/>
              <w:jc w:val="center"/>
            </w:pPr>
            <w:r>
              <w:rPr>
                <w:rFonts w:ascii="Calibri" w:hAnsi="Calibri" w:eastAsia="Microsoft YaHei"/>
                <w:b/>
                <w:color w:val="FFFFFF"/>
                <w:sz w:val="18"/>
              </w:rPr>
              <w:t>失效模式</w:t>
            </w:r>
          </w:p>
        </w:tc>
        <w:tc>
          <w:tcPr>
            <w:tcW w:type="dxa" w:w="2160"/>
            <w:shd w:fill="2E74B5"/>
            <w:vAlign w:val="center"/>
          </w:tcPr>
          <w:p>
            <w:pPr>
              <w:pStyle w:val="AurekTable"/>
              <w:jc w:val="center"/>
            </w:pPr>
            <w:r>
              <w:rPr>
                <w:rFonts w:ascii="Calibri" w:hAnsi="Calibri" w:eastAsia="Microsoft YaHei"/>
                <w:b/>
                <w:color w:val="FFFFFF"/>
                <w:sz w:val="18"/>
              </w:rPr>
              <w:t>后果</w:t>
            </w:r>
          </w:p>
        </w:tc>
        <w:tc>
          <w:tcPr>
            <w:tcW w:type="dxa" w:w="2700"/>
            <w:shd w:fill="2E74B5"/>
            <w:vAlign w:val="center"/>
          </w:tcPr>
          <w:p>
            <w:pPr>
              <w:pStyle w:val="AurekTable"/>
              <w:jc w:val="center"/>
            </w:pPr>
            <w:r>
              <w:rPr>
                <w:rFonts w:ascii="Calibri" w:hAnsi="Calibri" w:eastAsia="Microsoft YaHei"/>
                <w:b/>
                <w:color w:val="FFFFFF"/>
                <w:sz w:val="18"/>
              </w:rPr>
              <w:t>预防/检测</w:t>
            </w:r>
          </w:p>
        </w:tc>
        <w:tc>
          <w:tcPr>
            <w:tcW w:type="dxa" w:w="3000"/>
            <w:shd w:fill="2E74B5"/>
            <w:vAlign w:val="center"/>
          </w:tcPr>
          <w:p>
            <w:pPr>
              <w:pStyle w:val="AurekTable"/>
              <w:jc w:val="center"/>
            </w:pPr>
            <w:r>
              <w:rPr>
                <w:rFonts w:ascii="Calibri" w:hAnsi="Calibri" w:eastAsia="Microsoft YaHei"/>
                <w:b/>
                <w:color w:val="FFFFFF"/>
                <w:sz w:val="18"/>
              </w:rPr>
              <w:t>验证</w:t>
            </w:r>
          </w:p>
        </w:tc>
      </w:tr>
      <w:tr>
        <w:trPr>
          <w:cantSplit w:val="true"/>
        </w:trPr>
        <w:tc>
          <w:tcPr>
            <w:tcW w:type="dxa" w:w="1500"/>
            <w:shd w:fill="F2F4F7"/>
            <w:vAlign w:val="center"/>
          </w:tcPr>
          <w:p>
            <w:pPr>
              <w:pStyle w:val="AurekTable"/>
              <w:jc w:val="left"/>
            </w:pPr>
            <w:r>
              <w:rPr>
                <w:rFonts w:ascii="Calibri" w:hAnsi="Calibri" w:eastAsia="Microsoft YaHei"/>
                <w:sz w:val="18"/>
              </w:rPr>
              <w:t>锁紧机构磨损</w:t>
            </w:r>
          </w:p>
        </w:tc>
        <w:tc>
          <w:tcPr>
            <w:tcW w:type="dxa" w:w="2160"/>
            <w:vAlign w:val="center"/>
          </w:tcPr>
          <w:p>
            <w:pPr>
              <w:pStyle w:val="AurekTable"/>
              <w:jc w:val="left"/>
            </w:pPr>
            <w:r>
              <w:rPr>
                <w:rFonts w:ascii="Calibri" w:hAnsi="Calibri" w:eastAsia="Microsoft YaHei"/>
                <w:sz w:val="18"/>
              </w:rPr>
              <w:t>工具间隙或脱落</w:t>
            </w:r>
          </w:p>
        </w:tc>
        <w:tc>
          <w:tcPr>
            <w:tcW w:type="dxa" w:w="2700"/>
            <w:vAlign w:val="center"/>
          </w:tcPr>
          <w:p>
            <w:pPr>
              <w:pStyle w:val="AurekTable"/>
              <w:jc w:val="left"/>
            </w:pPr>
            <w:r>
              <w:rPr>
                <w:rFonts w:ascii="Calibri" w:hAnsi="Calibri" w:eastAsia="Microsoft YaHei"/>
                <w:sz w:val="18"/>
              </w:rPr>
              <w:t>寿命管理、锁止反馈、定期测量</w:t>
            </w:r>
          </w:p>
        </w:tc>
        <w:tc>
          <w:tcPr>
            <w:tcW w:type="dxa" w:w="3000"/>
            <w:vAlign w:val="center"/>
          </w:tcPr>
          <w:p>
            <w:pPr>
              <w:pStyle w:val="AurekTable"/>
              <w:jc w:val="left"/>
            </w:pPr>
            <w:r>
              <w:rPr>
                <w:rFonts w:ascii="Calibri" w:hAnsi="Calibri" w:eastAsia="Microsoft YaHei"/>
                <w:sz w:val="18"/>
              </w:rPr>
              <w:t>耐久与承载复测</w:t>
            </w:r>
          </w:p>
        </w:tc>
      </w:tr>
      <w:tr>
        <w:trPr>
          <w:cantSplit w:val="true"/>
        </w:trPr>
        <w:tc>
          <w:tcPr>
            <w:tcW w:type="dxa" w:w="1500"/>
            <w:shd w:fill="F2F4F7"/>
            <w:vAlign w:val="center"/>
          </w:tcPr>
          <w:p>
            <w:pPr>
              <w:pStyle w:val="AurekTable"/>
              <w:jc w:val="left"/>
            </w:pPr>
            <w:r>
              <w:rPr>
                <w:rFonts w:ascii="Calibri" w:hAnsi="Calibri" w:eastAsia="Microsoft YaHei"/>
                <w:sz w:val="18"/>
              </w:rPr>
              <w:t>工具未入站即解锁</w:t>
            </w:r>
          </w:p>
        </w:tc>
        <w:tc>
          <w:tcPr>
            <w:tcW w:type="dxa" w:w="2160"/>
            <w:vAlign w:val="center"/>
          </w:tcPr>
          <w:p>
            <w:pPr>
              <w:pStyle w:val="AurekTable"/>
              <w:jc w:val="left"/>
            </w:pPr>
            <w:r>
              <w:rPr>
                <w:rFonts w:ascii="Calibri" w:hAnsi="Calibri" w:eastAsia="Microsoft YaHei"/>
                <w:sz w:val="18"/>
              </w:rPr>
              <w:t>工具坠落</w:t>
            </w:r>
          </w:p>
        </w:tc>
        <w:tc>
          <w:tcPr>
            <w:tcW w:type="dxa" w:w="2700"/>
            <w:vAlign w:val="center"/>
          </w:tcPr>
          <w:p>
            <w:pPr>
              <w:pStyle w:val="AurekTable"/>
              <w:jc w:val="left"/>
            </w:pPr>
            <w:r>
              <w:rPr>
                <w:rFonts w:ascii="Calibri" w:hAnsi="Calibri" w:eastAsia="Microsoft YaHei"/>
                <w:sz w:val="18"/>
              </w:rPr>
              <w:t>站位互锁、载荷卸除、权限</w:t>
            </w:r>
          </w:p>
        </w:tc>
        <w:tc>
          <w:tcPr>
            <w:tcW w:type="dxa" w:w="3000"/>
            <w:vAlign w:val="center"/>
          </w:tcPr>
          <w:p>
            <w:pPr>
              <w:pStyle w:val="AurekTable"/>
              <w:jc w:val="left"/>
            </w:pPr>
            <w:r>
              <w:rPr>
                <w:rFonts w:ascii="Calibri" w:hAnsi="Calibri" w:eastAsia="Microsoft YaHei"/>
                <w:sz w:val="18"/>
              </w:rPr>
              <w:t>半入站解锁测试</w:t>
            </w:r>
          </w:p>
        </w:tc>
      </w:tr>
      <w:tr>
        <w:trPr>
          <w:cantSplit w:val="true"/>
        </w:trPr>
        <w:tc>
          <w:tcPr>
            <w:tcW w:type="dxa" w:w="1500"/>
            <w:shd w:fill="F2F4F7"/>
            <w:vAlign w:val="center"/>
          </w:tcPr>
          <w:p>
            <w:pPr>
              <w:pStyle w:val="AurekTable"/>
              <w:jc w:val="left"/>
            </w:pPr>
            <w:r>
              <w:rPr>
                <w:rFonts w:ascii="Calibri" w:hAnsi="Calibri" w:eastAsia="Microsoft YaHei"/>
                <w:sz w:val="18"/>
              </w:rPr>
              <w:t>ID 误识别</w:t>
            </w:r>
          </w:p>
        </w:tc>
        <w:tc>
          <w:tcPr>
            <w:tcW w:type="dxa" w:w="2160"/>
            <w:vAlign w:val="center"/>
          </w:tcPr>
          <w:p>
            <w:pPr>
              <w:pStyle w:val="AurekTable"/>
              <w:jc w:val="left"/>
            </w:pPr>
            <w:r>
              <w:rPr>
                <w:rFonts w:ascii="Calibri" w:hAnsi="Calibri" w:eastAsia="Microsoft YaHei"/>
                <w:sz w:val="18"/>
              </w:rPr>
              <w:t>错配方或错工件</w:t>
            </w:r>
          </w:p>
        </w:tc>
        <w:tc>
          <w:tcPr>
            <w:tcW w:type="dxa" w:w="2700"/>
            <w:vAlign w:val="center"/>
          </w:tcPr>
          <w:p>
            <w:pPr>
              <w:pStyle w:val="AurekTable"/>
              <w:jc w:val="left"/>
            </w:pPr>
            <w:r>
              <w:rPr>
                <w:rFonts w:ascii="Calibri" w:hAnsi="Calibri" w:eastAsia="Microsoft YaHei"/>
                <w:sz w:val="18"/>
              </w:rPr>
              <w:t>多样性识别、合法码检查</w:t>
            </w:r>
          </w:p>
        </w:tc>
        <w:tc>
          <w:tcPr>
            <w:tcW w:type="dxa" w:w="3000"/>
            <w:vAlign w:val="center"/>
          </w:tcPr>
          <w:p>
            <w:pPr>
              <w:pStyle w:val="AurekTable"/>
              <w:jc w:val="left"/>
            </w:pPr>
            <w:r>
              <w:rPr>
                <w:rFonts w:ascii="Calibri" w:hAnsi="Calibri" w:eastAsia="Microsoft YaHei"/>
                <w:sz w:val="18"/>
              </w:rPr>
              <w:t>断线/短路/冲突注入</w:t>
            </w:r>
          </w:p>
        </w:tc>
      </w:tr>
      <w:tr>
        <w:trPr>
          <w:cantSplit w:val="true"/>
        </w:trPr>
        <w:tc>
          <w:tcPr>
            <w:tcW w:type="dxa" w:w="1500"/>
            <w:shd w:fill="F2F4F7"/>
            <w:vAlign w:val="center"/>
          </w:tcPr>
          <w:p>
            <w:pPr>
              <w:pStyle w:val="AurekTable"/>
              <w:jc w:val="left"/>
            </w:pPr>
            <w:r>
              <w:rPr>
                <w:rFonts w:ascii="Calibri" w:hAnsi="Calibri" w:eastAsia="Microsoft YaHei"/>
                <w:sz w:val="18"/>
              </w:rPr>
              <w:t>接头未完全连接</w:t>
            </w:r>
          </w:p>
        </w:tc>
        <w:tc>
          <w:tcPr>
            <w:tcW w:type="dxa" w:w="2160"/>
            <w:vAlign w:val="center"/>
          </w:tcPr>
          <w:p>
            <w:pPr>
              <w:pStyle w:val="AurekTable"/>
              <w:jc w:val="left"/>
            </w:pPr>
            <w:r>
              <w:rPr>
                <w:rFonts w:ascii="Calibri" w:hAnsi="Calibri" w:eastAsia="Microsoft YaHei"/>
                <w:sz w:val="18"/>
              </w:rPr>
              <w:t>气压/真空/信号异常</w:t>
            </w:r>
          </w:p>
        </w:tc>
        <w:tc>
          <w:tcPr>
            <w:tcW w:type="dxa" w:w="2700"/>
            <w:vAlign w:val="center"/>
          </w:tcPr>
          <w:p>
            <w:pPr>
              <w:pStyle w:val="AurekTable"/>
              <w:jc w:val="left"/>
            </w:pPr>
            <w:r>
              <w:rPr>
                <w:rFonts w:ascii="Calibri" w:hAnsi="Calibri" w:eastAsia="Microsoft YaHei"/>
                <w:sz w:val="18"/>
              </w:rPr>
              <w:t>介质健康检查、入锁行程</w:t>
            </w:r>
          </w:p>
        </w:tc>
        <w:tc>
          <w:tcPr>
            <w:tcW w:type="dxa" w:w="3000"/>
            <w:vAlign w:val="center"/>
          </w:tcPr>
          <w:p>
            <w:pPr>
              <w:pStyle w:val="AurekTable"/>
              <w:jc w:val="left"/>
            </w:pPr>
            <w:r>
              <w:rPr>
                <w:rFonts w:ascii="Calibri" w:hAnsi="Calibri" w:eastAsia="Microsoft YaHei"/>
                <w:sz w:val="18"/>
              </w:rPr>
              <w:t>插接不完全测试</w:t>
            </w:r>
          </w:p>
        </w:tc>
      </w:tr>
      <w:tr>
        <w:trPr>
          <w:cantSplit w:val="true"/>
        </w:trPr>
        <w:tc>
          <w:tcPr>
            <w:tcW w:type="dxa" w:w="1500"/>
            <w:shd w:fill="F2F4F7"/>
            <w:vAlign w:val="center"/>
          </w:tcPr>
          <w:p>
            <w:pPr>
              <w:pStyle w:val="AurekTable"/>
              <w:jc w:val="left"/>
            </w:pPr>
            <w:r>
              <w:rPr>
                <w:rFonts w:ascii="Calibri" w:hAnsi="Calibri" w:eastAsia="Microsoft YaHei"/>
                <w:sz w:val="18"/>
              </w:rPr>
              <w:t>存放站变形</w:t>
            </w:r>
          </w:p>
        </w:tc>
        <w:tc>
          <w:tcPr>
            <w:tcW w:type="dxa" w:w="2160"/>
            <w:vAlign w:val="center"/>
          </w:tcPr>
          <w:p>
            <w:pPr>
              <w:pStyle w:val="AurekTable"/>
              <w:jc w:val="left"/>
            </w:pPr>
            <w:r>
              <w:rPr>
                <w:rFonts w:ascii="Calibri" w:hAnsi="Calibri" w:eastAsia="Microsoft YaHei"/>
                <w:sz w:val="18"/>
              </w:rPr>
              <w:t>定位偏差、卡滞</w:t>
            </w:r>
          </w:p>
        </w:tc>
        <w:tc>
          <w:tcPr>
            <w:tcW w:type="dxa" w:w="2700"/>
            <w:vAlign w:val="center"/>
          </w:tcPr>
          <w:p>
            <w:pPr>
              <w:pStyle w:val="AurekTable"/>
              <w:jc w:val="left"/>
            </w:pPr>
            <w:r>
              <w:rPr>
                <w:rFonts w:ascii="Calibri" w:hAnsi="Calibri" w:eastAsia="Microsoft YaHei"/>
                <w:sz w:val="18"/>
              </w:rPr>
              <w:t>站位点检、可更换导向、保护</w:t>
            </w:r>
          </w:p>
        </w:tc>
        <w:tc>
          <w:tcPr>
            <w:tcW w:type="dxa" w:w="3000"/>
            <w:vAlign w:val="center"/>
          </w:tcPr>
          <w:p>
            <w:pPr>
              <w:pStyle w:val="AurekTable"/>
              <w:jc w:val="left"/>
            </w:pPr>
            <w:r>
              <w:rPr>
                <w:rFonts w:ascii="Calibri" w:hAnsi="Calibri" w:eastAsia="Microsoft YaHei"/>
                <w:sz w:val="18"/>
              </w:rPr>
              <w:t>碰撞后检查与恢复演练</w:t>
            </w:r>
          </w:p>
        </w:tc>
      </w:tr>
      <w:tr>
        <w:trPr>
          <w:cantSplit w:val="true"/>
        </w:trPr>
        <w:tc>
          <w:tcPr>
            <w:tcW w:type="dxa" w:w="1500"/>
            <w:shd w:fill="F2F4F7"/>
            <w:vAlign w:val="center"/>
          </w:tcPr>
          <w:p>
            <w:pPr>
              <w:pStyle w:val="AurekTable"/>
              <w:jc w:val="left"/>
            </w:pPr>
            <w:r>
              <w:rPr>
                <w:rFonts w:ascii="Calibri" w:hAnsi="Calibri" w:eastAsia="Microsoft YaHei"/>
                <w:sz w:val="18"/>
              </w:rPr>
              <w:t>软件版本漂移</w:t>
            </w:r>
          </w:p>
        </w:tc>
        <w:tc>
          <w:tcPr>
            <w:tcW w:type="dxa" w:w="2160"/>
            <w:vAlign w:val="center"/>
          </w:tcPr>
          <w:p>
            <w:pPr>
              <w:pStyle w:val="AurekTable"/>
              <w:jc w:val="left"/>
            </w:pPr>
            <w:r>
              <w:rPr>
                <w:rFonts w:ascii="Calibri" w:hAnsi="Calibri" w:eastAsia="Microsoft YaHei"/>
                <w:sz w:val="18"/>
              </w:rPr>
              <w:t>参数与工具不匹配</w:t>
            </w:r>
          </w:p>
        </w:tc>
        <w:tc>
          <w:tcPr>
            <w:tcW w:type="dxa" w:w="2700"/>
            <w:vAlign w:val="center"/>
          </w:tcPr>
          <w:p>
            <w:pPr>
              <w:pStyle w:val="AurekTable"/>
              <w:jc w:val="left"/>
            </w:pPr>
            <w:r>
              <w:rPr>
                <w:rFonts w:ascii="Calibri" w:hAnsi="Calibri" w:eastAsia="Microsoft YaHei"/>
                <w:sz w:val="18"/>
              </w:rPr>
              <w:t>版本签名、审批和回滚</w:t>
            </w:r>
          </w:p>
        </w:tc>
        <w:tc>
          <w:tcPr>
            <w:tcW w:type="dxa" w:w="3000"/>
            <w:vAlign w:val="center"/>
          </w:tcPr>
          <w:p>
            <w:pPr>
              <w:pStyle w:val="AurekTable"/>
              <w:jc w:val="left"/>
            </w:pPr>
            <w:r>
              <w:rPr>
                <w:rFonts w:ascii="Calibri" w:hAnsi="Calibri" w:eastAsia="Microsoft YaHei"/>
                <w:sz w:val="18"/>
              </w:rPr>
              <w:t>旧版本/损坏配方测试</w:t>
            </w:r>
          </w:p>
        </w:tc>
      </w:tr>
    </w:tbl>
    <w:p>
      <w:pPr>
        <w:spacing w:after="40"/>
      </w:pPr>
    </w:p>
    <w:p>
      <w:pPr/>
      <w:r>
        <w:rPr>
          <w:rFonts w:ascii="Calibri" w:hAnsi="Calibri" w:eastAsia="Microsoft YaHei"/>
          <w:sz w:val="22"/>
        </w:rPr>
        <w:t>故障注入应至少覆盖锁/解锁传感器卡常开/常闭、工具存在信号错误、ID 单比特错误、通信中断、锁紧压力下降、入站信号虚假、释放命令误触发和错误存放位。系统不应以“传感器坏了所以人工确认一下”作为常规生产模式。</w:t>
      </w:r>
    </w:p>
    <w:p>
      <w:pPr>
        <w:pStyle w:val="Heading1"/>
      </w:pPr>
      <w:r>
        <w:rPr>
          <w:rFonts w:ascii="Calibri" w:hAnsi="Calibri" w:eastAsia="Microsoft YaHei"/>
        </w:rPr>
        <w:t>08 实施路线与结论</w:t>
      </w:r>
    </w:p>
    <w:p>
      <w:pPr/>
      <w:r>
        <w:rPr>
          <w:rFonts w:ascii="Calibri" w:hAnsi="Calibri" w:eastAsia="Microsoft YaHei"/>
          <w:sz w:val="22"/>
        </w:rPr>
        <w:t>实施建议分为：零件族和工艺数据冻结；功能分解与模块边界评审；接口载荷与介质标准制定；防错与状态机设计；样机台架验证；全部车型/工具/配方组合验证；现场节拍与异常恢复验证；量产维护与变更管理。交付资料应包含接口控制文件 ICD、工具 ID 表、存放站图、六分量载荷表、配方版本、故障状态表、验证记录和备件/维护计划。</w:t>
      </w:r>
    </w:p>
    <w:p>
      <w:pPr/>
      <w:r>
        <w:rPr>
          <w:rFonts w:ascii="Calibri" w:hAnsi="Calibri" w:eastAsia="Microsoft YaHei"/>
          <w:sz w:val="22"/>
        </w:rPr>
        <w:t>多车型共线夹具的价值不在于“一个接口能装很多工具”，而在于每个合法组合都可识别、可锁定、可验证、可维护，每个非法组合都能在进入危险动作前被阻止。模块化应减少系统复杂度的传播，而不是把复杂度从机械结构转移到无边界的软件配方。本文可作为设计与验证方法基础，不构成特定快换器产品选型保证、整机安全认证或客户节拍验收报告。</w:t>
      </w:r>
    </w:p>
    <w:p>
      <w:pPr>
        <w:pStyle w:val="Heading1"/>
        <w:pageBreakBefore/>
      </w:pPr>
      <w:r>
        <w:rPr>
          <w:rFonts w:ascii="Calibri" w:hAnsi="Calibri" w:eastAsia="Microsoft YaHei"/>
        </w:rPr>
        <w:t>参考文献</w:t>
      </w:r>
    </w:p>
    <w:p>
      <w:pPr>
        <w:pStyle w:val="AurekSource"/>
        <w:numPr>
          <w:ilvl w:val="0"/>
          <w:numId w:val="12"/>
        </w:numPr>
      </w:pPr>
      <w:r>
        <w:rPr>
          <w:rFonts w:ascii="Calibri" w:hAnsi="Calibri" w:eastAsia="Microsoft YaHei"/>
          <w:sz w:val="17"/>
        </w:rPr>
        <w:t xml:space="preserve">Colledani, M. et al. Design and management of reconfigurable assembly lines in the automotive industry. CIRP Annals, 2016. </w:t>
      </w:r>
      <w:hyperlink r:id="rId12">
        <w:r>
          <w:rPr>
            <w:rFonts w:ascii="Calibri" w:hAnsi="Calibri" w:eastAsia="Microsoft YaHei"/>
            <w:color w:val="2E74B5"/>
            <w:u w:val="single"/>
          </w:rPr>
          <w:t>https://doi.org/10.1016/j.cirp.2016.04.123</w:t>
        </w:r>
      </w:hyperlink>
    </w:p>
    <w:p>
      <w:pPr>
        <w:pStyle w:val="AurekSource"/>
        <w:numPr>
          <w:ilvl w:val="0"/>
          <w:numId w:val="12"/>
        </w:numPr>
      </w:pPr>
      <w:r>
        <w:rPr>
          <w:rFonts w:ascii="Calibri" w:hAnsi="Calibri" w:eastAsia="Microsoft YaHei"/>
          <w:sz w:val="17"/>
        </w:rPr>
        <w:t xml:space="preserve">ISO 11593:2022. Robots for industrial environments - Automatic end effector exchange systems - Vocabulary. </w:t>
      </w:r>
      <w:hyperlink r:id="rId13">
        <w:r>
          <w:rPr>
            <w:rFonts w:ascii="Calibri" w:hAnsi="Calibri" w:eastAsia="Microsoft YaHei"/>
            <w:color w:val="2E74B5"/>
            <w:u w:val="single"/>
          </w:rPr>
          <w:t>https://www.iso.org/standard/74676.html</w:t>
        </w:r>
      </w:hyperlink>
    </w:p>
    <w:p>
      <w:pPr>
        <w:pStyle w:val="AurekSource"/>
        <w:numPr>
          <w:ilvl w:val="0"/>
          <w:numId w:val="12"/>
        </w:numPr>
      </w:pPr>
      <w:r>
        <w:rPr>
          <w:rFonts w:ascii="Calibri" w:hAnsi="Calibri" w:eastAsia="Microsoft YaHei"/>
          <w:sz w:val="17"/>
        </w:rPr>
        <w:t xml:space="preserve">ISO 9409-1:2004. Manipulating industrial robots - Mechanical interfaces - Part 1: Plates. </w:t>
      </w:r>
      <w:hyperlink r:id="rId14">
        <w:r>
          <w:rPr>
            <w:rFonts w:ascii="Calibri" w:hAnsi="Calibri" w:eastAsia="Microsoft YaHei"/>
            <w:color w:val="2E74B5"/>
            <w:u w:val="single"/>
          </w:rPr>
          <w:t>https://www.iso.org/standard/36578.html</w:t>
        </w:r>
      </w:hyperlink>
    </w:p>
    <w:p>
      <w:pPr>
        <w:pStyle w:val="AurekSource"/>
        <w:numPr>
          <w:ilvl w:val="0"/>
          <w:numId w:val="12"/>
        </w:numPr>
      </w:pPr>
      <w:r>
        <w:rPr>
          <w:rFonts w:ascii="Calibri" w:hAnsi="Calibri" w:eastAsia="Microsoft YaHei"/>
          <w:sz w:val="17"/>
        </w:rPr>
        <w:t xml:space="preserve">ATI Industrial Automation. Sensor Interface Plate and lock/unlock sensing; robotic tool changer documentation. </w:t>
      </w:r>
      <w:hyperlink r:id="rId15">
        <w:r>
          <w:rPr>
            <w:rFonts w:ascii="Calibri" w:hAnsi="Calibri" w:eastAsia="Microsoft YaHei"/>
            <w:color w:val="2E74B5"/>
            <w:u w:val="single"/>
          </w:rPr>
          <w:t>https://www.ati-ia.com/products/toolchanger/SensorInterfacePlates.aspx</w:t>
        </w:r>
      </w:hyperlink>
    </w:p>
    <w:p>
      <w:pPr>
        <w:pStyle w:val="AurekSource"/>
        <w:numPr>
          <w:ilvl w:val="0"/>
          <w:numId w:val="12"/>
        </w:numPr>
      </w:pPr>
      <w:r>
        <w:rPr>
          <w:rFonts w:ascii="Calibri" w:hAnsi="Calibri" w:eastAsia="Microsoft YaHei"/>
          <w:sz w:val="17"/>
        </w:rPr>
        <w:t xml:space="preserve">SCHUNK. CMS manual change system - locking and tool presence monitoring. </w:t>
      </w:r>
      <w:hyperlink r:id="rId16">
        <w:r>
          <w:rPr>
            <w:rFonts w:ascii="Calibri" w:hAnsi="Calibri" w:eastAsia="Microsoft YaHei"/>
            <w:color w:val="2E74B5"/>
            <w:u w:val="single"/>
          </w:rPr>
          <w:t>https://schunk.com/us/en/automation-technology/tool-changer/cms/c/PGR_7149</w:t>
        </w:r>
      </w:hyperlink>
    </w:p>
    <w:p>
      <w:pPr>
        <w:pStyle w:val="AurekSource"/>
        <w:numPr>
          <w:ilvl w:val="0"/>
          <w:numId w:val="12"/>
        </w:numPr>
      </w:pPr>
      <w:r>
        <w:rPr>
          <w:rFonts w:ascii="Calibri" w:hAnsi="Calibri" w:eastAsia="Microsoft YaHei"/>
          <w:sz w:val="17"/>
        </w:rPr>
        <w:t xml:space="preserve">ISO 10218-2:2025. Robotics - Safety requirements - Part 2: Industrial robot applications and robot cells. </w:t>
      </w:r>
      <w:hyperlink r:id="rId17">
        <w:r>
          <w:rPr>
            <w:rFonts w:ascii="Calibri" w:hAnsi="Calibri" w:eastAsia="Microsoft YaHei"/>
            <w:color w:val="2E74B5"/>
            <w:u w:val="single"/>
          </w:rPr>
          <w:t>https://www.iso.org/standard/73934.html</w:t>
        </w:r>
      </w:hyperlink>
    </w:p>
    <w:p>
      <w:pPr>
        <w:pStyle w:val="AurekSource"/>
        <w:numPr>
          <w:ilvl w:val="0"/>
          <w:numId w:val="12"/>
        </w:numPr>
      </w:pPr>
      <w:r>
        <w:rPr>
          <w:rFonts w:ascii="Calibri" w:hAnsi="Calibri" w:eastAsia="Microsoft YaHei"/>
          <w:sz w:val="17"/>
        </w:rPr>
        <w:t xml:space="preserve">ISO/TR 20218-1:2018. Robotics - Safety design for industrial robot systems - Part 1: End-effectors. </w:t>
      </w:r>
      <w:hyperlink r:id="rId18">
        <w:r>
          <w:rPr>
            <w:rFonts w:ascii="Calibri" w:hAnsi="Calibri" w:eastAsia="Microsoft YaHei"/>
            <w:color w:val="2E74B5"/>
            <w:u w:val="single"/>
          </w:rPr>
          <w:t>https://www.iso.org/standard/69488.html</w:t>
        </w:r>
      </w:hyperlink>
    </w:p>
    <w:p>
      <w:pPr>
        <w:pStyle w:val="AurekSource"/>
        <w:numPr>
          <w:ilvl w:val="0"/>
          <w:numId w:val="12"/>
        </w:numPr>
      </w:pPr>
      <w:r>
        <w:rPr>
          <w:rFonts w:ascii="Calibri" w:hAnsi="Calibri" w:eastAsia="Microsoft YaHei"/>
          <w:sz w:val="17"/>
        </w:rPr>
        <w:t xml:space="preserve">Stief, P. et al. A pragmatic optimization-based approach for analysis and configuration of a reconfigurable multi-product assembly line in the automotive industry. International Journal of Advanced Manufacturing Technology, 2023. </w:t>
      </w:r>
      <w:hyperlink r:id="rId19">
        <w:r>
          <w:rPr>
            <w:rFonts w:ascii="Calibri" w:hAnsi="Calibri" w:eastAsia="Microsoft YaHei"/>
            <w:color w:val="2E74B5"/>
            <w:u w:val="single"/>
          </w:rPr>
          <w:t>https://doi.org/10.1007/s00170-023-12545-0</w:t>
        </w:r>
      </w:hyperlink>
    </w:p>
    <w:p>
      <w:pPr>
        <w:pStyle w:val="AurekSource"/>
        <w:numPr>
          <w:ilvl w:val="0"/>
          <w:numId w:val="12"/>
        </w:numPr>
      </w:pPr>
      <w:r>
        <w:rPr>
          <w:rFonts w:ascii="Calibri" w:hAnsi="Calibri" w:eastAsia="Microsoft YaHei"/>
          <w:sz w:val="17"/>
        </w:rPr>
        <w:t xml:space="preserve">Bajaj, N. M. et al. A Reconfigurable Gripper for Dexterous Manipulation in Flexible Assembly. Inventions, 2018. </w:t>
      </w:r>
      <w:hyperlink r:id="rId20">
        <w:r>
          <w:rPr>
            <w:rFonts w:ascii="Calibri" w:hAnsi="Calibri" w:eastAsia="Microsoft YaHei"/>
            <w:color w:val="2E74B5"/>
            <w:u w:val="single"/>
          </w:rPr>
          <w:t>https://doi.org/10.3390/inventions3010004</w:t>
        </w:r>
      </w:hyperlink>
    </w:p>
    <w:p>
      <w:pPr>
        <w:pStyle w:val="AurekSource"/>
        <w:numPr>
          <w:ilvl w:val="0"/>
          <w:numId w:val="12"/>
        </w:numPr>
      </w:pPr>
      <w:r>
        <w:rPr>
          <w:rFonts w:ascii="Calibri" w:hAnsi="Calibri" w:eastAsia="Microsoft YaHei"/>
          <w:sz w:val="17"/>
        </w:rPr>
        <w:t xml:space="preserve">ISO 12100:2010. Safety of machinery - General principles for design - Risk assessment and risk reduction. </w:t>
      </w:r>
      <w:hyperlink r:id="rId21">
        <w:r>
          <w:rPr>
            <w:rFonts w:ascii="Calibri" w:hAnsi="Calibri" w:eastAsia="Microsoft YaHei"/>
            <w:color w:val="2E74B5"/>
            <w:u w:val="single"/>
          </w:rPr>
          <w:t>https://www.iso.org/standard/51528.html</w:t>
        </w:r>
      </w:hyperlink>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right"/>
    </w:pPr>
    <w:r>
      <w:rPr>
        <w:rFonts w:ascii="Calibri" w:hAnsi="Calibri" w:eastAsia="Microsoft YaHei"/>
        <w:color w:val="5D6670"/>
        <w:sz w:val="17"/>
      </w:rPr>
      <w:t xml:space="preserve">PAGE </w:t>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360" w:val="left"/>
      </w:tabs>
      <w:spacing w:after="0"/>
      <w:jc w:val="left"/>
    </w:pPr>
    <w:r>
      <w:rPr>
        <w:rFonts w:ascii="Calibri" w:hAnsi="Calibri" w:eastAsia="Microsoft YaHei"/>
        <w:b/>
        <w:color w:val="5D6670"/>
        <w:sz w:val="16"/>
      </w:rPr>
      <w:t>AUREK TECHNICAL RESEARCH</w:t>
    </w:r>
    <w:r>
      <w:tab/>
    </w:r>
    <w:r>
      <w:rPr>
        <w:rFonts w:ascii="Calibri" w:hAnsi="Calibri" w:eastAsia="Microsoft YaHei"/>
        <w:color w:val="5D6670"/>
        <w:sz w:val="16"/>
      </w:rPr>
      <w:t>AUREK-RC-AR-040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suff w:val="tab"/>
      <w:pPr>
        <w:tabs>
          <w:tab w:val="num" w:pos="720"/>
        </w:tabs>
        <w:ind w:left="720" w:hanging="360"/>
        <w:spacing w:after="160" w:line="280" w:lineRule="auto"/>
      </w:pPr>
      <w:rPr>
        <w:rFonts w:ascii="Arial" w:hAnsi="Arial"/>
      </w:rPr>
    </w:lvl>
  </w:abstractNum>
  <w:abstractNum w:abstractNumId="10">
    <w:multiLevelType w:val="singleLevel"/>
    <w:lvl w:ilvl="0">
      <w:start w:val="1"/>
      <w:numFmt w:val="decimal"/>
      <w:lvlText w:val="%1."/>
      <w:suff w:val="tab"/>
      <w:pPr>
        <w:tabs>
          <w:tab w:val="num" w:pos="720"/>
        </w:tabs>
        <w:ind w:left="720" w:hanging="360"/>
        <w:spacing w:after="160" w:line="280" w:lineRule="auto"/>
      </w:pPr>
    </w:lvl>
  </w:abstractNum>
  <w:num w:numId="10">
    <w:abstractNumId w:val="9"/>
    <w:lvlOverride w:ilvl="0">
      <w:startOverride w:val="1"/>
    </w:lvlOverride>
  </w:num>
  <w:num w:numId="11">
    <w:abstractNumId w:val="10"/>
    <w:lvlOverride w:ilvl="0">
      <w:startOverride w:val="1"/>
    </w:lvlOverride>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before="0" w:after="120" w:line="264" w:lineRule="auto"/>
    </w:pPr>
    <w:rPr>
      <w:rFonts w:ascii="Calibri" w:hAnsi="Calibri" w:eastAsia="Microsoft YaHei"/>
      <w:b w:val="0"/>
      <w:color w:val="2226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Microsoft YaHe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Microsoft YaHe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rekContents">
    <w:name w:val="Aurek Contents"/>
    <w:basedOn w:val="Normal"/>
    <w:pPr>
      <w:spacing w:after="120" w:line="264" w:lineRule="auto"/>
    </w:pPr>
    <w:rPr>
      <w:rFonts w:ascii="Calibri" w:hAnsi="Calibri" w:eastAsia="Microsoft YaHei"/>
      <w:b w:val="0"/>
      <w:color w:val="5D6670"/>
      <w:sz w:val="21"/>
    </w:rPr>
  </w:style>
  <w:style w:type="paragraph" w:customStyle="1" w:styleId="AurekTable">
    <w:name w:val="Aurek Table"/>
    <w:basedOn w:val="Normal"/>
    <w:pPr>
      <w:spacing w:after="120" w:line="264" w:lineRule="auto"/>
    </w:pPr>
    <w:rPr>
      <w:rFonts w:ascii="Calibri" w:hAnsi="Calibri" w:eastAsia="Microsoft YaHei"/>
      <w:b w:val="0"/>
      <w:color w:val="22262A"/>
      <w:sz w:val="18"/>
    </w:rPr>
  </w:style>
  <w:style w:type="paragraph" w:customStyle="1" w:styleId="AurekEquation">
    <w:name w:val="Aurek Equation"/>
    <w:basedOn w:val="Normal"/>
    <w:pPr>
      <w:spacing w:after="120" w:line="264" w:lineRule="auto"/>
    </w:pPr>
    <w:rPr>
      <w:rFonts w:ascii="Calibri" w:hAnsi="Calibri" w:eastAsia="Microsoft YaHei"/>
      <w:b w:val="0"/>
      <w:color w:val="203748"/>
      <w:sz w:val="19"/>
    </w:rPr>
  </w:style>
  <w:style w:type="paragraph" w:customStyle="1" w:styleId="AurekSource">
    <w:name w:val="Aurek Source"/>
    <w:basedOn w:val="Normal"/>
    <w:pPr>
      <w:spacing w:after="120" w:line="264" w:lineRule="auto"/>
    </w:pPr>
    <w:rPr>
      <w:rFonts w:ascii="Calibri" w:hAnsi="Calibri" w:eastAsia="Microsoft YaHei"/>
      <w:b w:val="0"/>
      <w:color w:val="5D6670"/>
      <w:sz w:val="17"/>
    </w:rPr>
  </w:style>
  <w:style w:type="paragraph" w:customStyle="1" w:styleId="AurekCallout">
    <w:name w:val="Aurek Callout"/>
    <w:basedOn w:val="Normal"/>
    <w:pPr>
      <w:spacing w:after="120" w:line="264" w:lineRule="auto"/>
    </w:pPr>
    <w:rPr>
      <w:rFonts w:ascii="Calibri" w:hAnsi="Calibri" w:eastAsia="Microsoft YaHei"/>
      <w:b w:val="0"/>
      <w:color w:val="203748"/>
      <w:sz w:val="20"/>
    </w:rPr>
  </w:style>
  <w:style w:type="paragraph" w:customStyle="1" w:styleId="AurekList">
    <w:name w:val="Aurek List"/>
    <w:basedOn w:val="Normal"/>
    <w:pPr>
      <w:spacing w:after="120" w:line="280" w:lineRule="auto"/>
    </w:pPr>
    <w:rPr>
      <w:rFonts w:ascii="Calibri" w:hAnsi="Calibri" w:eastAsia="Microsoft YaHei"/>
      <w:b w:val="0"/>
      <w:color w:val="22262A"/>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yperlink" Target="https://doi.org/10.1016/j.cirp.2016.04.123" TargetMode="External"/><Relationship Id="rId13" Type="http://schemas.openxmlformats.org/officeDocument/2006/relationships/hyperlink" Target="https://www.iso.org/standard/74676.html" TargetMode="External"/><Relationship Id="rId14" Type="http://schemas.openxmlformats.org/officeDocument/2006/relationships/hyperlink" Target="https://www.iso.org/standard/36578.html" TargetMode="External"/><Relationship Id="rId15" Type="http://schemas.openxmlformats.org/officeDocument/2006/relationships/hyperlink" Target="https://www.ati-ia.com/products/toolchanger/SensorInterfacePlates.aspx" TargetMode="External"/><Relationship Id="rId16" Type="http://schemas.openxmlformats.org/officeDocument/2006/relationships/hyperlink" Target="https://schunk.com/us/en/automation-technology/tool-changer/cms/c/PGR_7149" TargetMode="External"/><Relationship Id="rId17" Type="http://schemas.openxmlformats.org/officeDocument/2006/relationships/hyperlink" Target="https://www.iso.org/standard/73934.html" TargetMode="External"/><Relationship Id="rId18" Type="http://schemas.openxmlformats.org/officeDocument/2006/relationships/hyperlink" Target="https://www.iso.org/standard/69488.html" TargetMode="External"/><Relationship Id="rId19" Type="http://schemas.openxmlformats.org/officeDocument/2006/relationships/hyperlink" Target="https://doi.org/10.1007/s00170-023-12545-0" TargetMode="External"/><Relationship Id="rId20" Type="http://schemas.openxmlformats.org/officeDocument/2006/relationships/hyperlink" Target="https://doi.org/10.3390/inventions3010004" TargetMode="External"/><Relationship Id="rId21" Type="http://schemas.openxmlformats.org/officeDocument/2006/relationships/hyperlink" Target="https://www.iso.org/standard/515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多车型共线搬运夹具模块化快换与防错方法研究</dc:title>
  <dc:subject>汽车行业助力搬运与非标夹具工程研究</dc:subject>
  <dc:creator>江苏安睿克智能科技有限公司</dc:creator>
  <cp:keywords>多车型共线,模块化夹具,快换接口,防错,工具识别</cp:keywords>
  <dc:description>公开资料研究与工程验证方法；非产品认证或客户验收证明。</dc:description>
  <cp:lastModifiedBy/>
  <cp:revision>1</cp:revision>
  <dcterms:created xsi:type="dcterms:W3CDTF">2013-12-23T23:15:00Z</dcterms:created>
  <dcterms:modified xsi:type="dcterms:W3CDTF">2013-12-23T23:15:00Z</dcterms:modified>
  <cp:category/>
</cp:coreProperties>
</file>