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20" w:after="600"/>
        <w:jc w:val="center"/>
      </w:pPr>
      <w:r>
        <w:drawing>
          <wp:inline xmlns:a="http://schemas.openxmlformats.org/drawingml/2006/main" xmlns:pic="http://schemas.openxmlformats.org/drawingml/2006/picture">
            <wp:extent cx="1691640" cy="592074"/>
            <wp:docPr id="1" name="Picture 1"/>
            <wp:cNvGraphicFramePr>
              <a:graphicFrameLocks noChangeAspect="1"/>
            </wp:cNvGraphicFramePr>
            <a:graphic>
              <a:graphicData uri="http://schemas.openxmlformats.org/drawingml/2006/picture">
                <pic:pic>
                  <pic:nvPicPr>
                    <pic:cNvPr id="0" name="aurek-logo-full.png"/>
                    <pic:cNvPicPr/>
                  </pic:nvPicPr>
                  <pic:blipFill>
                    <a:blip r:embed="rId11"/>
                    <a:stretch>
                      <a:fillRect/>
                    </a:stretch>
                  </pic:blipFill>
                  <pic:spPr>
                    <a:xfrm>
                      <a:off x="0" y="0"/>
                      <a:ext cx="1691640" cy="592074"/>
                    </a:xfrm>
                    <a:prstGeom prst="rect"/>
                  </pic:spPr>
                </pic:pic>
              </a:graphicData>
            </a:graphic>
          </wp:inline>
        </w:drawing>
      </w:r>
    </w:p>
    <w:p>
      <w:pPr>
        <w:spacing w:after="280"/>
        <w:jc w:val="center"/>
      </w:pPr>
      <w:r>
        <w:rPr>
          <w:rFonts w:ascii="Calibri" w:hAnsi="Calibri" w:eastAsia="Microsoft YaHei"/>
          <w:b/>
          <w:color w:val="B78727"/>
          <w:sz w:val="20"/>
        </w:rPr>
        <w:t>ENGINEERING RESEARCH REPORT · 工程研究报告</w:t>
      </w:r>
    </w:p>
    <w:p>
      <w:pPr>
        <w:keepLines/>
        <w:spacing w:after="280"/>
        <w:jc w:val="center"/>
      </w:pPr>
      <w:r>
        <w:rPr>
          <w:rFonts w:ascii="Calibri" w:hAnsi="Calibri" w:eastAsia="Microsoft YaHei"/>
          <w:b/>
          <w:color w:val="203748"/>
          <w:sz w:val="50"/>
        </w:rPr>
        <w:t>纸箱与透气工件真空吸附能力、泄漏补偿与子系统工程放行研究</w:t>
      </w:r>
    </w:p>
    <w:p>
      <w:pPr>
        <w:spacing w:after="840"/>
        <w:jc w:val="center"/>
      </w:pPr>
      <w:r>
        <w:rPr>
          <w:rFonts w:ascii="Calibri" w:hAnsi="Calibri" w:eastAsia="Microsoft YaHei"/>
          <w:color w:val="5D6670"/>
          <w:sz w:val="23"/>
        </w:rPr>
        <w:t>面向纸箱与透气表面的吸附承载、连续泄漏、动态安全与故障放行研究</w:t>
      </w:r>
    </w:p>
    <w:p>
      <w:pPr>
        <w:spacing w:after="60"/>
        <w:jc w:val="center"/>
      </w:pPr>
      <w:r>
        <w:rPr>
          <w:rFonts w:ascii="Calibri" w:hAnsi="Calibri" w:eastAsia="Microsoft YaHei"/>
          <w:b/>
          <w:color w:val="5D6670"/>
          <w:sz w:val="20"/>
        </w:rPr>
        <w:t xml:space="preserve">文件编号  </w:t>
      </w:r>
      <w:r>
        <w:rPr>
          <w:rFonts w:ascii="Calibri" w:hAnsi="Calibri" w:eastAsia="Microsoft YaHei"/>
          <w:color w:val="203748"/>
          <w:sz w:val="20"/>
        </w:rPr>
        <w:t>AUREK-RC-AR-043</w:t>
      </w:r>
    </w:p>
    <w:p>
      <w:pPr>
        <w:spacing w:after="60"/>
        <w:jc w:val="center"/>
      </w:pPr>
      <w:r>
        <w:rPr>
          <w:rFonts w:ascii="Calibri" w:hAnsi="Calibri" w:eastAsia="Microsoft YaHei"/>
          <w:b/>
          <w:color w:val="5D6670"/>
          <w:sz w:val="20"/>
        </w:rPr>
        <w:t xml:space="preserve">版本  </w:t>
      </w:r>
      <w:r>
        <w:rPr>
          <w:rFonts w:ascii="Calibri" w:hAnsi="Calibri" w:eastAsia="Microsoft YaHei"/>
          <w:color w:val="203748"/>
          <w:sz w:val="20"/>
        </w:rPr>
        <w:t>V1.0</w:t>
      </w:r>
    </w:p>
    <w:p>
      <w:pPr>
        <w:spacing w:after="60"/>
        <w:jc w:val="center"/>
      </w:pPr>
      <w:r>
        <w:rPr>
          <w:rFonts w:ascii="Calibri" w:hAnsi="Calibri" w:eastAsia="Microsoft YaHei"/>
          <w:b/>
          <w:color w:val="5D6670"/>
          <w:sz w:val="20"/>
        </w:rPr>
        <w:t xml:space="preserve">发布日期  </w:t>
      </w:r>
      <w:r>
        <w:rPr>
          <w:rFonts w:ascii="Calibri" w:hAnsi="Calibri" w:eastAsia="Microsoft YaHei"/>
          <w:color w:val="203748"/>
          <w:sz w:val="20"/>
        </w:rPr>
        <w:t>2026-08-15</w:t>
      </w:r>
    </w:p>
    <w:p>
      <w:pPr>
        <w:spacing w:after="60"/>
        <w:jc w:val="center"/>
      </w:pPr>
      <w:r>
        <w:rPr>
          <w:rFonts w:ascii="Calibri" w:hAnsi="Calibri" w:eastAsia="Microsoft YaHei"/>
          <w:b/>
          <w:color w:val="5D6670"/>
          <w:sz w:val="20"/>
        </w:rPr>
        <w:t xml:space="preserve">发布单位  </w:t>
      </w:r>
      <w:r>
        <w:rPr>
          <w:rFonts w:ascii="Calibri" w:hAnsi="Calibri" w:eastAsia="Microsoft YaHei"/>
          <w:color w:val="203748"/>
          <w:sz w:val="20"/>
        </w:rPr>
        <w:t>江苏安睿克智能科技有限公司</w:t>
      </w:r>
    </w:p>
    <w:p>
      <w:pPr>
        <w:spacing w:before="720" w:after="0"/>
        <w:jc w:val="center"/>
      </w:pPr>
      <w:r>
        <w:rPr>
          <w:rFonts w:ascii="Calibri" w:hAnsi="Calibri" w:eastAsia="Microsoft YaHei"/>
          <w:b/>
          <w:color w:val="8A5C16"/>
          <w:sz w:val="18"/>
        </w:rPr>
        <w:t>计算模型 · 试验矩阵 · 工程放行判据</w:t>
      </w:r>
    </w:p>
    <w:p>
      <w:r>
        <w:br w:type="page"/>
      </w:r>
    </w:p>
    <w:p>
      <w:pPr>
        <w:pStyle w:val="Heading1"/>
        <w:spacing w:before="0"/>
      </w:pPr>
      <w:r>
        <w:t>报告结构</w:t>
      </w:r>
    </w:p>
    <w:p>
      <w:pPr>
        <w:pStyle w:val="AurekContents"/>
        <w:ind w:left="259"/>
      </w:pPr>
      <w:r>
        <w:rPr>
          <w:rFonts w:ascii="Calibri" w:hAnsi="Calibri" w:eastAsia="Microsoft YaHei"/>
          <w:b/>
          <w:color w:val="203748"/>
          <w:sz w:val="21"/>
        </w:rPr>
        <w:t>00 执行摘要</w:t>
      </w:r>
    </w:p>
    <w:p>
      <w:pPr>
        <w:pStyle w:val="AurekContents"/>
        <w:ind w:left="259"/>
      </w:pPr>
      <w:r>
        <w:rPr>
          <w:rFonts w:ascii="Calibri" w:hAnsi="Calibri" w:eastAsia="Microsoft YaHei"/>
          <w:b w:val="0"/>
          <w:color w:val="203748"/>
          <w:sz w:val="21"/>
        </w:rPr>
        <w:t>01 研究对象、系统范围与符号</w:t>
      </w:r>
    </w:p>
    <w:p>
      <w:pPr>
        <w:pStyle w:val="AurekContents"/>
        <w:ind w:left="259"/>
      </w:pPr>
      <w:r>
        <w:rPr>
          <w:rFonts w:ascii="Calibri" w:hAnsi="Calibri" w:eastAsia="Microsoft YaHei"/>
          <w:b w:val="0"/>
          <w:color w:val="203748"/>
          <w:sz w:val="21"/>
        </w:rPr>
        <w:t>02 透气、边缘密封与泄漏机理</w:t>
      </w:r>
    </w:p>
    <w:p>
      <w:pPr>
        <w:pStyle w:val="AurekContents"/>
        <w:ind w:left="259"/>
      </w:pPr>
      <w:r>
        <w:rPr>
          <w:rFonts w:ascii="Calibri" w:hAnsi="Calibri" w:eastAsia="Microsoft YaHei"/>
          <w:b w:val="0"/>
          <w:color w:val="203748"/>
          <w:sz w:val="21"/>
        </w:rPr>
        <w:t>03 吸附承载、摩擦与动态载荷模型</w:t>
      </w:r>
    </w:p>
    <w:p>
      <w:pPr>
        <w:pStyle w:val="AurekContents"/>
        <w:ind w:left="259"/>
      </w:pPr>
      <w:r>
        <w:rPr>
          <w:rFonts w:ascii="Calibri" w:hAnsi="Calibri" w:eastAsia="Microsoft YaHei"/>
          <w:b w:val="0"/>
          <w:color w:val="203748"/>
          <w:sz w:val="21"/>
        </w:rPr>
        <w:t>04 泄漏流量平衡与真空建立时间</w:t>
      </w:r>
    </w:p>
    <w:p>
      <w:pPr>
        <w:pStyle w:val="AurekContents"/>
        <w:ind w:left="259"/>
      </w:pPr>
      <w:r>
        <w:rPr>
          <w:rFonts w:ascii="Calibri" w:hAnsi="Calibri" w:eastAsia="Microsoft YaHei"/>
          <w:b w:val="0"/>
          <w:color w:val="203748"/>
          <w:sz w:val="21"/>
        </w:rPr>
        <w:t>05 分区、止回、限流与泄漏补偿架构</w:t>
      </w:r>
    </w:p>
    <w:p>
      <w:pPr>
        <w:pStyle w:val="AurekContents"/>
        <w:ind w:left="259"/>
      </w:pPr>
      <w:r>
        <w:rPr>
          <w:rFonts w:ascii="Calibri" w:hAnsi="Calibri" w:eastAsia="Microsoft YaHei"/>
          <w:b w:val="0"/>
          <w:color w:val="203748"/>
          <w:sz w:val="21"/>
        </w:rPr>
        <w:t>06 基准工况计算与唯一判定</w:t>
      </w:r>
    </w:p>
    <w:p>
      <w:pPr>
        <w:pStyle w:val="AurekContents"/>
        <w:ind w:left="259"/>
      </w:pPr>
      <w:r>
        <w:rPr>
          <w:rFonts w:ascii="Calibri" w:hAnsi="Calibri" w:eastAsia="Microsoft YaHei"/>
          <w:b w:val="0"/>
          <w:color w:val="203748"/>
          <w:sz w:val="21"/>
        </w:rPr>
        <w:t>07 单区故障、总失气与受控落位逻辑</w:t>
      </w:r>
    </w:p>
    <w:p>
      <w:pPr>
        <w:pStyle w:val="AurekContents"/>
        <w:ind w:left="259"/>
      </w:pPr>
      <w:r>
        <w:rPr>
          <w:rFonts w:ascii="Calibri" w:hAnsi="Calibri" w:eastAsia="Microsoft YaHei"/>
          <w:b w:val="0"/>
          <w:color w:val="203748"/>
          <w:sz w:val="21"/>
        </w:rPr>
        <w:t>08 测试矩阵、测量链与记录要求</w:t>
      </w:r>
    </w:p>
    <w:p>
      <w:pPr>
        <w:pStyle w:val="AurekContents"/>
        <w:ind w:left="259"/>
      </w:pPr>
      <w:r>
        <w:rPr>
          <w:rFonts w:ascii="Calibri" w:hAnsi="Calibri" w:eastAsia="Microsoft YaHei"/>
          <w:b w:val="0"/>
          <w:color w:val="203748"/>
          <w:sz w:val="21"/>
        </w:rPr>
        <w:t>09 FMEA 驱动的故障注入矩阵</w:t>
      </w:r>
    </w:p>
    <w:p>
      <w:pPr>
        <w:pStyle w:val="AurekContents"/>
        <w:ind w:left="259"/>
      </w:pPr>
      <w:r>
        <w:rPr>
          <w:rFonts w:ascii="Calibri" w:hAnsi="Calibri" w:eastAsia="Microsoft YaHei"/>
          <w:b w:val="0"/>
          <w:color w:val="203748"/>
          <w:sz w:val="21"/>
        </w:rPr>
        <w:t>10 FAT、SAT 与真空抓取子系统工程放行标准</w:t>
      </w:r>
    </w:p>
    <w:p>
      <w:pPr>
        <w:pStyle w:val="AurekContents"/>
        <w:ind w:left="259"/>
      </w:pPr>
      <w:r>
        <w:rPr>
          <w:rFonts w:ascii="Calibri" w:hAnsi="Calibri" w:eastAsia="Microsoft YaHei"/>
          <w:b w:val="0"/>
          <w:color w:val="203748"/>
          <w:sz w:val="21"/>
        </w:rPr>
        <w:t>11 工程控制与维护要求</w:t>
      </w:r>
    </w:p>
    <w:p>
      <w:pPr>
        <w:pStyle w:val="AurekContents"/>
        <w:ind w:left="259"/>
      </w:pPr>
      <w:r>
        <w:rPr>
          <w:rFonts w:ascii="Calibri" w:hAnsi="Calibri" w:eastAsia="Microsoft YaHei"/>
          <w:b w:val="0"/>
          <w:color w:val="203748"/>
          <w:sz w:val="21"/>
        </w:rPr>
        <w:t>12 研究结论</w:t>
      </w:r>
    </w:p>
    <w:p>
      <w:pPr>
        <w:pStyle w:val="AurekContents"/>
        <w:ind w:left="259"/>
      </w:pPr>
      <w:r>
        <w:rPr>
          <w:rFonts w:ascii="Calibri" w:hAnsi="Calibri" w:eastAsia="Microsoft YaHei"/>
          <w:b w:val="0"/>
          <w:color w:val="203748"/>
          <w:sz w:val="21"/>
        </w:rPr>
        <w:t>参考文献</w:t>
      </w:r>
    </w:p>
    <w:p>
      <w:pPr>
        <w:pStyle w:val="AurekCallout"/>
        <w:spacing w:before="120" w:after="160"/>
        <w:ind w:left="259" w:right="173"/>
        <w:shd w:fill="F4F6F9"/>
        <w:pBdr>
          <w:left w:val="single" w:sz="18" w:space="8" w:color="B78727"/>
        </w:pBdr>
      </w:pPr>
      <w:r>
        <w:rPr>
          <w:rFonts w:ascii="Calibri" w:hAnsi="Calibri" w:eastAsia="Microsoft YaHei"/>
          <w:b/>
          <w:color w:val="203748"/>
          <w:sz w:val="20"/>
        </w:rPr>
        <w:t xml:space="preserve">判定规则  </w:t>
      </w:r>
      <w:r>
        <w:rPr>
          <w:rFonts w:ascii="Calibri" w:hAnsi="Calibri" w:eastAsia="Microsoft YaHei"/>
          <w:sz w:val="20"/>
        </w:rPr>
        <w:t>本报告采用明示输入与统一计算链，正式判定只有通过或不通过；任一硬门槛失败即不得放行。</w:t>
      </w:r>
    </w:p>
    <w:p>
      <w:r>
        <w:br w:type="page"/>
      </w:r>
    </w:p>
    <w:p>
      <w:pPr>
        <w:pStyle w:val="Heading1"/>
      </w:pPr>
      <w:r>
        <w:rPr>
          <w:rFonts w:ascii="Calibri" w:hAnsi="Calibri" w:eastAsia="Microsoft YaHei"/>
        </w:rPr>
        <w:t>00 执行摘要</w:t>
      </w:r>
    </w:p>
    <w:p>
      <w:pPr/>
      <w:r>
        <w:rPr>
          <w:rFonts w:ascii="Calibri" w:hAnsi="Calibri" w:eastAsia="Microsoft YaHei"/>
          <w:sz w:val="22"/>
        </w:rPr>
        <w:t>纸箱、瓦楞板、袋装物和多孔复合材料不是理想气密工件。真空源抽走的气体同时来自管路容积、杯口密封间隙和材料孔隙；当进气量接近真空源在工作真空度下的有效抽吸流量时，系统会建立缓慢、压力波动，甚至永远达不到吸附许可阈值。因此，按光滑钢板的“压差乘面积”静态计算选型，会遗漏泄漏流量、建立时间、摩擦、偏心、动态加速度和局部失效。</w:t>
      </w:r>
    </w:p>
    <w:p>
      <w:pPr/>
      <w:r>
        <w:rPr>
          <w:rFonts w:ascii="Calibri" w:hAnsi="Calibri" w:eastAsia="Microsoft YaHei"/>
          <w:sz w:val="22"/>
        </w:rPr>
        <w:t>GB/T 41098—2021《起重机 安全 起重吊具》目前为现行标准，并等同采用 ISO 17096:2015[1][2]。两者只用于起重机、葫芦及手控载荷操纵设备的非固定起重吊具；ISO 17096 明确排除气动部件危险，因此不能把它直接扩展为机器人末端执行器或气动回路的完整安全依据。GB/T 32293—2015目前现行，只用于硬件真空设备泄漏 Q_H 的检漏方法选择，不用于给纸箱孔隙流 Q_P 或杯口过程进气 Q_E 出具标准符合性结论[3]。ISO 4414:2010用于机械气动系统的设计、隔离、残余能量和维护，但其范围排除工厂供气系统、气瓶和储气罐[4]。</w:t>
      </w:r>
    </w:p>
    <w:p>
      <w:pPr/>
      <w:r>
        <w:rPr>
          <w:rFonts w:ascii="Calibri" w:hAnsi="Calibri" w:eastAsia="Microsoft YaHei"/>
          <w:sz w:val="22"/>
        </w:rPr>
        <w:t>本报告形成“真空抓取子系统工程放行”。整机风险评估、承担安全功能的控制系统确认、机器人集成合规以及储气罐本体合规均为前置门；任一前置门没有正式记录，真空子系统即使通过本报告全部试验，也不得形成整机安全放行。本报告中的 2.5 载荷安全系数、1.5 流量储备系数、2.0 s 建立时限和四分区容错，为全文统一采用的工程基线。</w:t>
      </w:r>
    </w:p>
    <w:p>
      <w:pPr/>
      <w:r>
        <w:rPr>
          <w:rFonts w:ascii="Calibri" w:hAnsi="Calibri" w:eastAsia="Microsoft YaHei"/>
          <w:b/>
          <w:color w:val="203748"/>
          <w:sz w:val="22"/>
        </w:rPr>
        <w:t>统一研究基线</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项目</w:t>
            </w:r>
          </w:p>
        </w:tc>
        <w:tc>
          <w:tcPr>
            <w:tcW w:type="dxa" w:w="3480"/>
            <w:shd w:fill="2E74B5"/>
            <w:vAlign w:val="center"/>
          </w:tcPr>
          <w:p>
            <w:pPr>
              <w:pStyle w:val="AurekTable"/>
              <w:keepNext/>
              <w:keepLines/>
              <w:jc w:val="center"/>
            </w:pPr>
            <w:r>
              <w:rPr>
                <w:rFonts w:ascii="Calibri" w:hAnsi="Calibri" w:eastAsia="Microsoft YaHei"/>
                <w:b/>
                <w:color w:val="FFFFFF"/>
                <w:sz w:val="18"/>
              </w:rPr>
              <w:t>本报告锁定值</w:t>
            </w:r>
          </w:p>
        </w:tc>
        <w:tc>
          <w:tcPr>
            <w:tcW w:type="dxa" w:w="4080"/>
            <w:shd w:fill="2E74B5"/>
            <w:vAlign w:val="center"/>
          </w:tcPr>
          <w:p>
            <w:pPr>
              <w:pStyle w:val="AurekTable"/>
              <w:keepNext/>
              <w:keepLines/>
              <w:jc w:val="center"/>
            </w:pPr>
            <w:r>
              <w:rPr>
                <w:rFonts w:ascii="Calibri" w:hAnsi="Calibri" w:eastAsia="Microsoft YaHei"/>
                <w:b/>
                <w:color w:val="FFFFFF"/>
                <w:sz w:val="18"/>
              </w:rPr>
              <w:t>通过条件</w:t>
            </w:r>
          </w:p>
        </w:tc>
      </w:tr>
      <w:tr>
        <w:trPr>
          <w:cantSplit w:val="true"/>
        </w:trPr>
        <w:tc>
          <w:tcPr>
            <w:tcW w:type="dxa" w:w="1800"/>
            <w:shd w:fill="F2F4F7"/>
            <w:vAlign w:val="center"/>
          </w:tcPr>
          <w:p>
            <w:pPr>
              <w:pStyle w:val="AurekTable"/>
              <w:jc w:val="left"/>
            </w:pPr>
            <w:r>
              <w:rPr>
                <w:rFonts w:ascii="Calibri" w:hAnsi="Calibri" w:eastAsia="Microsoft YaHei"/>
                <w:sz w:val="18"/>
              </w:rPr>
              <w:t>故障保持最低压差</w:t>
            </w:r>
          </w:p>
        </w:tc>
        <w:tc>
          <w:tcPr>
            <w:tcW w:type="dxa" w:w="3480"/>
            <w:vAlign w:val="center"/>
          </w:tcPr>
          <w:p>
            <w:pPr>
              <w:pStyle w:val="AurekTable"/>
              <w:jc w:val="left"/>
            </w:pPr>
            <w:r>
              <w:rPr>
                <w:rFonts w:ascii="Calibri" w:hAnsi="Calibri" w:eastAsia="Microsoft YaHei"/>
                <w:sz w:val="18"/>
              </w:rPr>
              <w:t>Δp_min,LB = 45 kPa</w:t>
            </w:r>
          </w:p>
        </w:tc>
        <w:tc>
          <w:tcPr>
            <w:tcW w:type="dxa" w:w="4080"/>
            <w:vAlign w:val="center"/>
          </w:tcPr>
          <w:p>
            <w:pPr>
              <w:pStyle w:val="AurekTable"/>
              <w:jc w:val="left"/>
            </w:pPr>
            <w:r>
              <w:rPr>
                <w:rFonts w:ascii="Calibri" w:hAnsi="Calibri" w:eastAsia="Microsoft YaHei"/>
                <w:sz w:val="18"/>
              </w:rPr>
              <w:t>采用测量下界；故障至支撑转移期间每个健康分区均不低于该值</w:t>
            </w:r>
          </w:p>
        </w:tc>
      </w:tr>
      <w:tr>
        <w:trPr>
          <w:cantSplit w:val="true"/>
        </w:trPr>
        <w:tc>
          <w:tcPr>
            <w:tcW w:type="dxa" w:w="1800"/>
            <w:shd w:fill="F2F4F7"/>
            <w:vAlign w:val="center"/>
          </w:tcPr>
          <w:p>
            <w:pPr>
              <w:pStyle w:val="AurekTable"/>
              <w:jc w:val="left"/>
            </w:pPr>
            <w:r>
              <w:rPr>
                <w:rFonts w:ascii="Calibri" w:hAnsi="Calibri" w:eastAsia="Microsoft YaHei"/>
                <w:sz w:val="18"/>
              </w:rPr>
              <w:t>正常提升许可压差</w:t>
            </w:r>
          </w:p>
        </w:tc>
        <w:tc>
          <w:tcPr>
            <w:tcW w:type="dxa" w:w="3480"/>
            <w:vAlign w:val="center"/>
          </w:tcPr>
          <w:p>
            <w:pPr>
              <w:pStyle w:val="AurekTable"/>
              <w:jc w:val="left"/>
            </w:pPr>
            <w:r>
              <w:rPr>
                <w:rFonts w:ascii="Calibri" w:hAnsi="Calibri" w:eastAsia="Microsoft YaHei"/>
                <w:sz w:val="18"/>
              </w:rPr>
              <w:t>Δp_pick,LB = 50 kPa</w:t>
            </w:r>
          </w:p>
        </w:tc>
        <w:tc>
          <w:tcPr>
            <w:tcW w:type="dxa" w:w="4080"/>
            <w:vAlign w:val="center"/>
          </w:tcPr>
          <w:p>
            <w:pPr>
              <w:pStyle w:val="AurekTable"/>
              <w:jc w:val="left"/>
            </w:pPr>
            <w:r>
              <w:rPr>
                <w:rFonts w:ascii="Calibri" w:hAnsi="Calibri" w:eastAsia="Microsoft YaHei"/>
                <w:sz w:val="18"/>
              </w:rPr>
              <w:t>每区连续20个100 Hz采样点均≥50 kPa，且窗口峰峰值≤2 kPa</w:t>
            </w:r>
          </w:p>
        </w:tc>
      </w:tr>
      <w:tr>
        <w:trPr>
          <w:cantSplit w:val="true"/>
        </w:trPr>
        <w:tc>
          <w:tcPr>
            <w:tcW w:type="dxa" w:w="1800"/>
            <w:shd w:fill="F2F4F7"/>
            <w:vAlign w:val="center"/>
          </w:tcPr>
          <w:p>
            <w:pPr>
              <w:pStyle w:val="AurekTable"/>
              <w:jc w:val="left"/>
            </w:pPr>
            <w:r>
              <w:rPr>
                <w:rFonts w:ascii="Calibri" w:hAnsi="Calibri" w:eastAsia="Microsoft YaHei"/>
                <w:sz w:val="18"/>
              </w:rPr>
              <w:t>载荷安全系数</w:t>
            </w:r>
          </w:p>
        </w:tc>
        <w:tc>
          <w:tcPr>
            <w:tcW w:type="dxa" w:w="3480"/>
            <w:vAlign w:val="center"/>
          </w:tcPr>
          <w:p>
            <w:pPr>
              <w:pStyle w:val="AurekTable"/>
              <w:jc w:val="left"/>
            </w:pPr>
            <w:r>
              <w:rPr>
                <w:rFonts w:ascii="Calibri" w:hAnsi="Calibri" w:eastAsia="Microsoft YaHei"/>
                <w:sz w:val="18"/>
              </w:rPr>
              <w:t>S_L = 2.5</w:t>
            </w:r>
          </w:p>
        </w:tc>
        <w:tc>
          <w:tcPr>
            <w:tcW w:type="dxa" w:w="4080"/>
            <w:vAlign w:val="center"/>
          </w:tcPr>
          <w:p>
            <w:pPr>
              <w:pStyle w:val="AurekTable"/>
              <w:jc w:val="left"/>
            </w:pPr>
            <w:r>
              <w:rPr>
                <w:rFonts w:ascii="Calibri" w:hAnsi="Calibri" w:eastAsia="Microsoft YaHei"/>
                <w:sz w:val="18"/>
              </w:rPr>
              <w:t>所有路径姿态、加速度和偏心下，容量/设计需求 ≥ 1.00</w:t>
            </w:r>
          </w:p>
        </w:tc>
      </w:tr>
      <w:tr>
        <w:trPr>
          <w:cantSplit w:val="true"/>
        </w:trPr>
        <w:tc>
          <w:tcPr>
            <w:tcW w:type="dxa" w:w="1800"/>
            <w:shd w:fill="F2F4F7"/>
            <w:vAlign w:val="center"/>
          </w:tcPr>
          <w:p>
            <w:pPr>
              <w:pStyle w:val="AurekTable"/>
              <w:jc w:val="left"/>
            </w:pPr>
            <w:r>
              <w:rPr>
                <w:rFonts w:ascii="Calibri" w:hAnsi="Calibri" w:eastAsia="Microsoft YaHei"/>
                <w:sz w:val="18"/>
              </w:rPr>
              <w:t>泄漏流量储备系数</w:t>
            </w:r>
          </w:p>
        </w:tc>
        <w:tc>
          <w:tcPr>
            <w:tcW w:type="dxa" w:w="3480"/>
            <w:vAlign w:val="center"/>
          </w:tcPr>
          <w:p>
            <w:pPr>
              <w:pStyle w:val="AurekTable"/>
              <w:jc w:val="left"/>
            </w:pPr>
            <w:r>
              <w:rPr>
                <w:rFonts w:ascii="Calibri" w:hAnsi="Calibri" w:eastAsia="Microsoft YaHei"/>
                <w:sz w:val="18"/>
              </w:rPr>
              <w:t>K_Q = 1.5</w:t>
            </w:r>
          </w:p>
        </w:tc>
        <w:tc>
          <w:tcPr>
            <w:tcW w:type="dxa" w:w="4080"/>
            <w:vAlign w:val="center"/>
          </w:tcPr>
          <w:p>
            <w:pPr>
              <w:pStyle w:val="AurekTable"/>
              <w:jc w:val="left"/>
            </w:pPr>
            <w:r>
              <w:rPr>
                <w:rFonts w:ascii="Calibri" w:hAnsi="Calibri" w:eastAsia="Microsoft YaHei"/>
                <w:sz w:val="18"/>
              </w:rPr>
              <w:t>用于 Q_S,LB/Q_L,UB 的固定项目系数</w:t>
            </w:r>
          </w:p>
        </w:tc>
      </w:tr>
      <w:tr>
        <w:trPr>
          <w:cantSplit w:val="true"/>
        </w:trPr>
        <w:tc>
          <w:tcPr>
            <w:tcW w:type="dxa" w:w="1800"/>
            <w:shd w:fill="F2F4F7"/>
            <w:vAlign w:val="center"/>
          </w:tcPr>
          <w:p>
            <w:pPr>
              <w:pStyle w:val="AurekTable"/>
              <w:jc w:val="left"/>
            </w:pPr>
            <w:r>
              <w:rPr>
                <w:rFonts w:ascii="Calibri" w:hAnsi="Calibri" w:eastAsia="Microsoft YaHei"/>
                <w:sz w:val="18"/>
              </w:rPr>
              <w:t>流量保守判据</w:t>
            </w:r>
          </w:p>
        </w:tc>
        <w:tc>
          <w:tcPr>
            <w:tcW w:type="dxa" w:w="3480"/>
            <w:vAlign w:val="center"/>
          </w:tcPr>
          <w:p>
            <w:pPr>
              <w:pStyle w:val="AurekTable"/>
              <w:jc w:val="left"/>
            </w:pPr>
            <w:r>
              <w:rPr>
                <w:rFonts w:ascii="Calibri" w:hAnsi="Calibri" w:eastAsia="Microsoft YaHei"/>
                <w:sz w:val="18"/>
              </w:rPr>
              <w:t>Q_S,LB/Q_L,UB ≥ 1.50</w:t>
            </w:r>
          </w:p>
        </w:tc>
        <w:tc>
          <w:tcPr>
            <w:tcW w:type="dxa" w:w="4080"/>
            <w:vAlign w:val="center"/>
          </w:tcPr>
          <w:p>
            <w:pPr>
              <w:pStyle w:val="AurekTable"/>
              <w:jc w:val="left"/>
            </w:pPr>
            <w:r>
              <w:rPr>
                <w:rFonts w:ascii="Calibri" w:hAnsi="Calibri" w:eastAsia="Microsoft YaHei"/>
                <w:sz w:val="18"/>
              </w:rPr>
              <w:t>源流量取下界，泄漏量取上界，且标准状态完全一致</w:t>
            </w:r>
          </w:p>
        </w:tc>
      </w:tr>
      <w:tr>
        <w:trPr>
          <w:cantSplit w:val="true"/>
        </w:trPr>
        <w:tc>
          <w:tcPr>
            <w:tcW w:type="dxa" w:w="1800"/>
            <w:shd w:fill="F2F4F7"/>
            <w:vAlign w:val="center"/>
          </w:tcPr>
          <w:p>
            <w:pPr>
              <w:pStyle w:val="AurekTable"/>
              <w:jc w:val="left"/>
            </w:pPr>
            <w:r>
              <w:rPr>
                <w:rFonts w:ascii="Calibri" w:hAnsi="Calibri" w:eastAsia="Microsoft YaHei"/>
                <w:sz w:val="18"/>
              </w:rPr>
              <w:t>真空建立时限</w:t>
            </w:r>
          </w:p>
        </w:tc>
        <w:tc>
          <w:tcPr>
            <w:tcW w:type="dxa" w:w="3480"/>
            <w:vAlign w:val="center"/>
          </w:tcPr>
          <w:p>
            <w:pPr>
              <w:pStyle w:val="AurekTable"/>
              <w:jc w:val="left"/>
            </w:pPr>
            <w:r>
              <w:rPr>
                <w:rFonts w:ascii="Calibri" w:hAnsi="Calibri" w:eastAsia="Microsoft YaHei"/>
                <w:sz w:val="18"/>
              </w:rPr>
              <w:t>t_pick ≤ 2.0 s</w:t>
            </w:r>
          </w:p>
        </w:tc>
        <w:tc>
          <w:tcPr>
            <w:tcW w:type="dxa" w:w="4080"/>
            <w:vAlign w:val="center"/>
          </w:tcPr>
          <w:p>
            <w:pPr>
              <w:pStyle w:val="AurekTable"/>
              <w:jc w:val="left"/>
            </w:pPr>
            <w:r>
              <w:rPr>
                <w:rFonts w:ascii="Calibri" w:hAnsi="Calibri" w:eastAsia="Microsoft YaHei"/>
                <w:sz w:val="18"/>
              </w:rPr>
              <w:t>从吸盘接触到全部分区达到50 kPa下界并稳定200 ms</w:t>
            </w:r>
          </w:p>
        </w:tc>
      </w:tr>
      <w:tr>
        <w:trPr>
          <w:cantSplit w:val="true"/>
        </w:trPr>
        <w:tc>
          <w:tcPr>
            <w:tcW w:type="dxa" w:w="1800"/>
            <w:shd w:fill="F2F4F7"/>
            <w:vAlign w:val="center"/>
          </w:tcPr>
          <w:p>
            <w:pPr>
              <w:pStyle w:val="AurekTable"/>
              <w:jc w:val="left"/>
            </w:pPr>
            <w:r>
              <w:rPr>
                <w:rFonts w:ascii="Calibri" w:hAnsi="Calibri" w:eastAsia="Microsoft YaHei"/>
                <w:sz w:val="18"/>
              </w:rPr>
              <w:t>分区原则</w:t>
            </w:r>
          </w:p>
        </w:tc>
        <w:tc>
          <w:tcPr>
            <w:tcW w:type="dxa" w:w="3480"/>
            <w:vAlign w:val="center"/>
          </w:tcPr>
          <w:p>
            <w:pPr>
              <w:pStyle w:val="AurekTable"/>
              <w:jc w:val="left"/>
            </w:pPr>
            <w:r>
              <w:rPr>
                <w:rFonts w:ascii="Calibri" w:hAnsi="Calibri" w:eastAsia="Microsoft YaHei"/>
                <w:sz w:val="18"/>
              </w:rPr>
              <w:t>4 个相互隔离分区</w:t>
            </w:r>
          </w:p>
        </w:tc>
        <w:tc>
          <w:tcPr>
            <w:tcW w:type="dxa" w:w="4080"/>
            <w:vAlign w:val="center"/>
          </w:tcPr>
          <w:p>
            <w:pPr>
              <w:pStyle w:val="AurekTable"/>
              <w:jc w:val="left"/>
            </w:pPr>
            <w:r>
              <w:rPr>
                <w:rFonts w:ascii="Calibri" w:hAnsi="Calibri" w:eastAsia="Microsoft YaHei"/>
                <w:sz w:val="18"/>
              </w:rPr>
              <w:t>任意一个分区完全失效后仍满足载荷与力矩判据</w:t>
            </w:r>
          </w:p>
        </w:tc>
      </w:tr>
      <w:tr>
        <w:trPr>
          <w:cantSplit w:val="true"/>
        </w:trPr>
        <w:tc>
          <w:tcPr>
            <w:tcW w:type="dxa" w:w="1800"/>
            <w:shd w:fill="F2F4F7"/>
            <w:vAlign w:val="center"/>
          </w:tcPr>
          <w:p>
            <w:pPr>
              <w:pStyle w:val="AurekTable"/>
              <w:jc w:val="left"/>
            </w:pPr>
            <w:r>
              <w:rPr>
                <w:rFonts w:ascii="Calibri" w:hAnsi="Calibri" w:eastAsia="Microsoft YaHei"/>
                <w:sz w:val="18"/>
              </w:rPr>
              <w:t>备用建立</w:t>
            </w:r>
          </w:p>
        </w:tc>
        <w:tc>
          <w:tcPr>
            <w:tcW w:type="dxa" w:w="3480"/>
            <w:vAlign w:val="center"/>
          </w:tcPr>
          <w:p>
            <w:pPr>
              <w:pStyle w:val="AurekTable"/>
              <w:jc w:val="left"/>
            </w:pPr>
            <w:r>
              <w:rPr>
                <w:rFonts w:ascii="Calibri" w:hAnsi="Calibri" w:eastAsia="Microsoft YaHei"/>
                <w:sz w:val="18"/>
              </w:rPr>
              <w:t>t_1−t_0 ≤ 0.10 s</w:t>
            </w:r>
          </w:p>
        </w:tc>
        <w:tc>
          <w:tcPr>
            <w:tcW w:type="dxa" w:w="4080"/>
            <w:vAlign w:val="center"/>
          </w:tcPr>
          <w:p>
            <w:pPr>
              <w:pStyle w:val="AurekTable"/>
              <w:jc w:val="left"/>
            </w:pPr>
            <w:r>
              <w:rPr>
                <w:rFonts w:ascii="Calibri" w:hAnsi="Calibri" w:eastAsia="Microsoft YaHei"/>
                <w:sz w:val="18"/>
              </w:rPr>
              <w:t>t_0为主供能丧失，t_1为四区发生器入口供气压力下界均≥0.40 MPa</w:t>
            </w:r>
          </w:p>
        </w:tc>
      </w:tr>
      <w:tr>
        <w:trPr>
          <w:cantSplit w:val="true"/>
        </w:trPr>
        <w:tc>
          <w:tcPr>
            <w:tcW w:type="dxa" w:w="1800"/>
            <w:shd w:fill="F2F4F7"/>
            <w:vAlign w:val="center"/>
          </w:tcPr>
          <w:p>
            <w:pPr>
              <w:pStyle w:val="AurekTable"/>
              <w:jc w:val="left"/>
            </w:pPr>
            <w:r>
              <w:rPr>
                <w:rFonts w:ascii="Calibri" w:hAnsi="Calibri" w:eastAsia="Microsoft YaHei"/>
                <w:sz w:val="18"/>
              </w:rPr>
              <w:t>故障确认</w:t>
            </w:r>
          </w:p>
        </w:tc>
        <w:tc>
          <w:tcPr>
            <w:tcW w:type="dxa" w:w="3480"/>
            <w:vAlign w:val="center"/>
          </w:tcPr>
          <w:p>
            <w:pPr>
              <w:pStyle w:val="AurekTable"/>
              <w:jc w:val="left"/>
            </w:pPr>
            <w:r>
              <w:rPr>
                <w:rFonts w:ascii="Calibri" w:hAnsi="Calibri" w:eastAsia="Microsoft YaHei"/>
                <w:sz w:val="18"/>
              </w:rPr>
              <w:t>t_2−t_0 ≤ 0.50 s</w:t>
            </w:r>
          </w:p>
        </w:tc>
        <w:tc>
          <w:tcPr>
            <w:tcW w:type="dxa" w:w="4080"/>
            <w:vAlign w:val="center"/>
          </w:tcPr>
          <w:p>
            <w:pPr>
              <w:pStyle w:val="AurekTable"/>
              <w:jc w:val="left"/>
            </w:pPr>
            <w:r>
              <w:rPr>
                <w:rFonts w:ascii="Calibri" w:hAnsi="Calibri" w:eastAsia="Microsoft YaHei"/>
                <w:sz w:val="18"/>
              </w:rPr>
              <w:t>t_2为控制系统确认并发出落位命令</w:t>
            </w:r>
          </w:p>
        </w:tc>
      </w:tr>
      <w:tr>
        <w:trPr>
          <w:cantSplit w:val="true"/>
        </w:trPr>
        <w:tc>
          <w:tcPr>
            <w:tcW w:type="dxa" w:w="1800"/>
            <w:shd w:fill="F2F4F7"/>
            <w:vAlign w:val="center"/>
          </w:tcPr>
          <w:p>
            <w:pPr>
              <w:pStyle w:val="AurekTable"/>
              <w:jc w:val="left"/>
            </w:pPr>
            <w:r>
              <w:rPr>
                <w:rFonts w:ascii="Calibri" w:hAnsi="Calibri" w:eastAsia="Microsoft YaHei"/>
                <w:sz w:val="18"/>
              </w:rPr>
              <w:t>受控落位</w:t>
            </w:r>
          </w:p>
        </w:tc>
        <w:tc>
          <w:tcPr>
            <w:tcW w:type="dxa" w:w="3480"/>
            <w:vAlign w:val="center"/>
          </w:tcPr>
          <w:p>
            <w:pPr>
              <w:pStyle w:val="AurekTable"/>
              <w:jc w:val="left"/>
            </w:pPr>
            <w:r>
              <w:rPr>
                <w:rFonts w:ascii="Calibri" w:hAnsi="Calibri" w:eastAsia="Microsoft YaHei"/>
                <w:sz w:val="18"/>
              </w:rPr>
              <w:t>t_3−t_2 ≤ 4.00 s</w:t>
            </w:r>
          </w:p>
        </w:tc>
        <w:tc>
          <w:tcPr>
            <w:tcW w:type="dxa" w:w="4080"/>
            <w:vAlign w:val="center"/>
          </w:tcPr>
          <w:p>
            <w:pPr>
              <w:pStyle w:val="AurekTable"/>
              <w:jc w:val="left"/>
            </w:pPr>
            <w:r>
              <w:rPr>
                <w:rFonts w:ascii="Calibri" w:hAnsi="Calibri" w:eastAsia="Microsoft YaHei"/>
                <w:sz w:val="18"/>
              </w:rPr>
              <w:t>t_3为载荷完成支撑转移；t_res≥0.50+2×4.00＝8.50 s</w:t>
            </w:r>
          </w:p>
        </w:tc>
      </w:tr>
      <w:tr>
        <w:trPr>
          <w:cantSplit w:val="true"/>
        </w:trPr>
        <w:tc>
          <w:tcPr>
            <w:tcW w:type="dxa" w:w="1800"/>
            <w:shd w:fill="F2F4F7"/>
            <w:vAlign w:val="center"/>
          </w:tcPr>
          <w:p>
            <w:pPr>
              <w:pStyle w:val="AurekTable"/>
              <w:jc w:val="left"/>
            </w:pPr>
            <w:r>
              <w:rPr>
                <w:rFonts w:ascii="Calibri" w:hAnsi="Calibri" w:eastAsia="Microsoft YaHei"/>
                <w:sz w:val="18"/>
              </w:rPr>
              <w:t>样本验收规则</w:t>
            </w:r>
          </w:p>
        </w:tc>
        <w:tc>
          <w:tcPr>
            <w:tcW w:type="dxa" w:w="3480"/>
            <w:vAlign w:val="center"/>
          </w:tcPr>
          <w:p>
            <w:pPr>
              <w:pStyle w:val="AurekTable"/>
              <w:jc w:val="left"/>
            </w:pPr>
            <w:r>
              <w:rPr>
                <w:rFonts w:ascii="Calibri" w:hAnsi="Calibri" w:eastAsia="Microsoft YaHei"/>
                <w:sz w:val="18"/>
              </w:rPr>
              <w:t>每个边界单元、FAT与SAT独立零失效</w:t>
            </w:r>
          </w:p>
        </w:tc>
        <w:tc>
          <w:tcPr>
            <w:tcW w:type="dxa" w:w="4080"/>
            <w:vAlign w:val="center"/>
          </w:tcPr>
          <w:p>
            <w:pPr>
              <w:pStyle w:val="AurekTable"/>
              <w:jc w:val="left"/>
            </w:pPr>
            <w:r>
              <w:rPr>
                <w:rFonts w:ascii="Calibri" w:hAnsi="Calibri" w:eastAsia="Microsoft YaHei"/>
                <w:sz w:val="18"/>
              </w:rPr>
              <w:t>任一失败即整项不通过，整改后该整项从第一次重新执行</w:t>
            </w:r>
          </w:p>
        </w:tc>
      </w:tr>
    </w:tbl>
    <w:p>
      <w:pPr>
        <w:spacing w:after="40"/>
      </w:pPr>
    </w:p>
    <w:p>
      <w:pPr/>
      <w:r>
        <w:rPr>
          <w:rFonts w:ascii="Calibri" w:hAnsi="Calibri" w:eastAsia="Microsoft YaHei"/>
          <w:b/>
          <w:color w:val="203748"/>
          <w:sz w:val="22"/>
        </w:rPr>
        <w:t>核心结论</w:t>
      </w:r>
    </w:p>
    <w:p>
      <w:pPr>
        <w:pStyle w:val="AurekList"/>
        <w:numPr>
          <w:ilvl w:val="0"/>
          <w:numId w:val="10"/>
        </w:numPr>
      </w:pPr>
      <w:r>
        <w:rPr>
          <w:rFonts w:ascii="Calibri" w:hAnsi="Calibri" w:eastAsia="Microsoft YaHei"/>
          <w:sz w:val="21"/>
        </w:rPr>
        <w:t>真空吸附能力必须由“压差—有效面积—载荷方向—摩擦—力矩”联合计算；额定吸力或吸盘数量单独不能构成放行证据。</w:t>
      </w:r>
    </w:p>
    <w:p>
      <w:pPr>
        <w:pStyle w:val="AurekList"/>
        <w:numPr>
          <w:ilvl w:val="0"/>
          <w:numId w:val="10"/>
        </w:numPr>
      </w:pPr>
      <w:r>
        <w:rPr>
          <w:rFonts w:ascii="Calibri" w:hAnsi="Calibri" w:eastAsia="Microsoft YaHei"/>
          <w:sz w:val="21"/>
        </w:rPr>
        <w:t>透气工件必须在实际接触状态测得泄漏流量上界，并用真空源在45 kPa压差、0.40 MPa最低供气表压处的流量下界校核。Q_S,LB/Q_L,UB＜1.50，判为不通过。</w:t>
      </w:r>
    </w:p>
    <w:p>
      <w:pPr>
        <w:pStyle w:val="AurekList"/>
        <w:numPr>
          <w:ilvl w:val="0"/>
          <w:numId w:val="10"/>
        </w:numPr>
      </w:pPr>
      <w:r>
        <w:rPr>
          <w:rFonts w:ascii="Calibri" w:hAnsi="Calibri" w:eastAsia="Microsoft YaHei"/>
          <w:sz w:val="21"/>
        </w:rPr>
        <w:t>吸附许可必须来自每个分区的压力开关或传感器；只有当各区压力下界连续 200 ms 不低于 50 kPa 且峰峰值不大于 2 kPa，才允许提升。只用固定延时判定吸住，判为不通过。SMC 的官方选型资料也明确要求用压力信号确认吸附完成，而非只依赖定时器[5]。</w:t>
      </w:r>
    </w:p>
    <w:p>
      <w:pPr>
        <w:pStyle w:val="AurekList"/>
        <w:numPr>
          <w:ilvl w:val="0"/>
          <w:numId w:val="10"/>
        </w:numPr>
      </w:pPr>
      <w:r>
        <w:rPr>
          <w:rFonts w:ascii="Calibri" w:hAnsi="Calibri" w:eastAsia="Microsoft YaHei"/>
          <w:sz w:val="21"/>
        </w:rPr>
        <w:t>单区故障不得由中央大腔体“平均压力”掩盖。各区必须具有独立取压、限流或止回隔离和可识别报警。</w:t>
      </w:r>
    </w:p>
    <w:p>
      <w:pPr>
        <w:pStyle w:val="AurekList"/>
        <w:numPr>
          <w:ilvl w:val="0"/>
          <w:numId w:val="10"/>
        </w:numPr>
      </w:pPr>
      <w:r>
        <w:rPr>
          <w:rFonts w:ascii="Calibri" w:hAnsi="Calibri" w:eastAsia="Microsoft YaHei"/>
          <w:sz w:val="21"/>
        </w:rPr>
        <w:t>高泄漏纸箱不能把未经放气模型和最低供气压力性能验证的储气罐当作失气保护。备用真空源或压缩空气储备必须按绝热放气、最低供气压力流量下界和耗气量上界复算，并经切断主供能的实物故障注入证明。</w:t>
      </w:r>
    </w:p>
    <w:p>
      <w:pPr>
        <w:pStyle w:val="AurekList"/>
        <w:numPr>
          <w:ilvl w:val="0"/>
          <w:numId w:val="10"/>
        </w:numPr>
      </w:pPr>
      <w:r>
        <w:rPr>
          <w:rFonts w:ascii="Calibri" w:hAnsi="Calibri" w:eastAsia="Microsoft YaHei"/>
          <w:sz w:val="21"/>
        </w:rPr>
        <w:t>未形成泄漏记录、动态包络、单区失效记录和受控落位记录的配置，结论只能是“不放行”，不得用经验签字替代。</w:t>
      </w:r>
    </w:p>
    <w:p>
      <w:pPr>
        <w:pStyle w:val="Heading1"/>
      </w:pPr>
      <w:r>
        <w:rPr>
          <w:rFonts w:ascii="Calibri" w:hAnsi="Calibri" w:eastAsia="Microsoft YaHei"/>
        </w:rPr>
        <w:t>01 研究对象、系统范围与符号</w:t>
      </w:r>
    </w:p>
    <w:p>
      <w:pPr/>
      <w:r>
        <w:rPr>
          <w:rFonts w:ascii="Calibri" w:hAnsi="Calibri" w:eastAsia="Microsoft YaHei"/>
          <w:sz w:val="22"/>
        </w:rPr>
        <w:t>本文研究对象是从上表面或指定吸附面抓取的瓦楞纸箱、未覆膜纸板、透气袋材及类似工件，载体可以是助力机械臂、机器人或专用搬运机。系统范围从吸盘与工件接触开始，覆盖真空发生、分配、监测、运动、故障隔离和安全落位。GB/T 41098—2021/ISO 17096:2015 只在设备属于其定义的非固定起重吊具时采用；机器人末端执行器必须另行完成机器人系统集成和控制安全确认。</w:t>
      </w:r>
    </w:p>
    <w:p>
      <w:pPr/>
      <w:r>
        <w:rPr>
          <w:rFonts w:ascii="Calibri" w:hAnsi="Calibri" w:eastAsia="Microsoft YaHei"/>
          <w:sz w:val="22"/>
        </w:rPr>
        <w:t>R1 前置门包括纸箱结构设计、储气罐本体合规、整机风险评估、控制系统安全完整性确认和爆炸性环境选型。五项记录编号全部写入 R1 后进入子系统工程放行；任一记录缺失，R1 直接不通过。</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符号</w:t>
            </w:r>
          </w:p>
        </w:tc>
        <w:tc>
          <w:tcPr>
            <w:tcW w:type="dxa" w:w="3480"/>
            <w:shd w:fill="2E74B5"/>
            <w:vAlign w:val="center"/>
          </w:tcPr>
          <w:p>
            <w:pPr>
              <w:pStyle w:val="AurekTable"/>
              <w:keepNext/>
              <w:keepLines/>
              <w:jc w:val="center"/>
            </w:pPr>
            <w:r>
              <w:rPr>
                <w:rFonts w:ascii="Calibri" w:hAnsi="Calibri" w:eastAsia="Microsoft YaHei"/>
                <w:b/>
                <w:color w:val="FFFFFF"/>
                <w:sz w:val="18"/>
              </w:rPr>
              <w:t>含义</w:t>
            </w:r>
          </w:p>
        </w:tc>
        <w:tc>
          <w:tcPr>
            <w:tcW w:type="dxa" w:w="4080"/>
            <w:shd w:fill="2E74B5"/>
            <w:vAlign w:val="center"/>
          </w:tcPr>
          <w:p>
            <w:pPr>
              <w:pStyle w:val="AurekTable"/>
              <w:keepNext/>
              <w:keepLines/>
              <w:jc w:val="center"/>
            </w:pPr>
            <w:r>
              <w:rPr>
                <w:rFonts w:ascii="Calibri" w:hAnsi="Calibri" w:eastAsia="Microsoft YaHei"/>
                <w:b/>
                <w:color w:val="FFFFFF"/>
                <w:sz w:val="18"/>
              </w:rPr>
              <w:t>单位</w:t>
            </w:r>
          </w:p>
        </w:tc>
      </w:tr>
      <w:tr>
        <w:trPr>
          <w:cantSplit w:val="true"/>
        </w:trPr>
        <w:tc>
          <w:tcPr>
            <w:tcW w:type="dxa" w:w="1800"/>
            <w:shd w:fill="F2F4F7"/>
            <w:vAlign w:val="center"/>
          </w:tcPr>
          <w:p>
            <w:pPr>
              <w:pStyle w:val="AurekTable"/>
              <w:jc w:val="left"/>
            </w:pPr>
            <w:r>
              <w:rPr>
                <w:rFonts w:ascii="Calibri" w:hAnsi="Calibri" w:eastAsia="Microsoft YaHei"/>
                <w:sz w:val="18"/>
              </w:rPr>
              <w:t>Δp_LB</w:t>
            </w:r>
          </w:p>
        </w:tc>
        <w:tc>
          <w:tcPr>
            <w:tcW w:type="dxa" w:w="3480"/>
            <w:vAlign w:val="center"/>
          </w:tcPr>
          <w:p>
            <w:pPr>
              <w:pStyle w:val="AurekTable"/>
              <w:jc w:val="left"/>
            </w:pPr>
            <w:r>
              <w:rPr>
                <w:rFonts w:ascii="Calibri" w:hAnsi="Calibri" w:eastAsia="Microsoft YaHei"/>
                <w:sz w:val="18"/>
              </w:rPr>
              <w:t>大气压与吸盘腔绝对压力之差的测量下界</w:t>
            </w:r>
          </w:p>
        </w:tc>
        <w:tc>
          <w:tcPr>
            <w:tcW w:type="dxa" w:w="4080"/>
            <w:vAlign w:val="center"/>
          </w:tcPr>
          <w:p>
            <w:pPr>
              <w:pStyle w:val="AurekTable"/>
              <w:jc w:val="left"/>
            </w:pPr>
            <w:r>
              <w:rPr>
                <w:rFonts w:ascii="Calibri" w:hAnsi="Calibri" w:eastAsia="Microsoft YaHei"/>
                <w:sz w:val="18"/>
              </w:rPr>
              <w:t>Pa 或 kPa</w:t>
            </w:r>
          </w:p>
        </w:tc>
      </w:tr>
      <w:tr>
        <w:trPr>
          <w:cantSplit w:val="true"/>
        </w:trPr>
        <w:tc>
          <w:tcPr>
            <w:tcW w:type="dxa" w:w="1800"/>
            <w:shd w:fill="F2F4F7"/>
            <w:vAlign w:val="center"/>
          </w:tcPr>
          <w:p>
            <w:pPr>
              <w:pStyle w:val="AurekTable"/>
              <w:jc w:val="left"/>
            </w:pPr>
            <w:r>
              <w:rPr>
                <w:rFonts w:ascii="Calibri" w:hAnsi="Calibri" w:eastAsia="Microsoft YaHei"/>
                <w:sz w:val="18"/>
              </w:rPr>
              <w:t>A_eff,LB,i</w:t>
            </w:r>
          </w:p>
        </w:tc>
        <w:tc>
          <w:tcPr>
            <w:tcW w:type="dxa" w:w="3480"/>
            <w:vAlign w:val="center"/>
          </w:tcPr>
          <w:p>
            <w:pPr>
              <w:pStyle w:val="AurekTable"/>
              <w:jc w:val="left"/>
            </w:pPr>
            <w:r>
              <w:rPr>
                <w:rFonts w:ascii="Calibri" w:hAnsi="Calibri" w:eastAsia="Microsoft YaHei"/>
                <w:sz w:val="18"/>
              </w:rPr>
              <w:t>第 i 个吸盘在锁定压缩量下、扣除不确定度后的有效面积下界</w:t>
            </w:r>
          </w:p>
        </w:tc>
        <w:tc>
          <w:tcPr>
            <w:tcW w:type="dxa" w:w="4080"/>
            <w:vAlign w:val="center"/>
          </w:tcPr>
          <w:p>
            <w:pPr>
              <w:pStyle w:val="AurekTable"/>
              <w:jc w:val="left"/>
            </w:pPr>
            <w:r>
              <w:rPr>
                <w:rFonts w:ascii="Calibri" w:hAnsi="Calibri" w:eastAsia="Microsoft YaHei"/>
                <w:sz w:val="18"/>
              </w:rPr>
              <w:t>m²</w:t>
            </w:r>
          </w:p>
        </w:tc>
      </w:tr>
      <w:tr>
        <w:trPr>
          <w:cantSplit w:val="true"/>
        </w:trPr>
        <w:tc>
          <w:tcPr>
            <w:tcW w:type="dxa" w:w="1800"/>
            <w:shd w:fill="F2F4F7"/>
            <w:vAlign w:val="center"/>
          </w:tcPr>
          <w:p>
            <w:pPr>
              <w:pStyle w:val="AurekTable"/>
              <w:jc w:val="left"/>
            </w:pPr>
            <w:r>
              <w:rPr>
                <w:rFonts w:ascii="Calibri" w:hAnsi="Calibri" w:eastAsia="Microsoft YaHei"/>
                <w:sz w:val="18"/>
              </w:rPr>
              <w:t>C_i</w:t>
            </w:r>
          </w:p>
        </w:tc>
        <w:tc>
          <w:tcPr>
            <w:tcW w:type="dxa" w:w="3480"/>
            <w:vAlign w:val="center"/>
          </w:tcPr>
          <w:p>
            <w:pPr>
              <w:pStyle w:val="AurekTable"/>
              <w:jc w:val="left"/>
            </w:pPr>
            <w:r>
              <w:rPr>
                <w:rFonts w:ascii="Calibri" w:hAnsi="Calibri" w:eastAsia="Microsoft YaHei"/>
                <w:sz w:val="18"/>
              </w:rPr>
              <w:t>第 i 个吸盘的法向容量，C_i＝Δp_min,LB A_eff,LB,i</w:t>
            </w:r>
          </w:p>
        </w:tc>
        <w:tc>
          <w:tcPr>
            <w:tcW w:type="dxa" w:w="4080"/>
            <w:vAlign w:val="center"/>
          </w:tcPr>
          <w:p>
            <w:pPr>
              <w:pStyle w:val="AurekTable"/>
              <w:jc w:val="left"/>
            </w:pPr>
            <w:r>
              <w:rPr>
                <w:rFonts w:ascii="Calibri" w:hAnsi="Calibri" w:eastAsia="Microsoft YaHei"/>
                <w:sz w:val="18"/>
              </w:rPr>
              <w:t>N</w:t>
            </w:r>
          </w:p>
        </w:tc>
      </w:tr>
      <w:tr>
        <w:trPr>
          <w:cantSplit w:val="true"/>
        </w:trPr>
        <w:tc>
          <w:tcPr>
            <w:tcW w:type="dxa" w:w="1800"/>
            <w:shd w:fill="F2F4F7"/>
            <w:vAlign w:val="center"/>
          </w:tcPr>
          <w:p>
            <w:pPr>
              <w:pStyle w:val="AurekTable"/>
              <w:jc w:val="left"/>
            </w:pPr>
            <w:r>
              <w:rPr>
                <w:rFonts w:ascii="Calibri" w:hAnsi="Calibri" w:eastAsia="Microsoft YaHei"/>
                <w:sz w:val="18"/>
              </w:rPr>
              <w:t>Q_S,LB</w:t>
            </w:r>
          </w:p>
        </w:tc>
        <w:tc>
          <w:tcPr>
            <w:tcW w:type="dxa" w:w="3480"/>
            <w:vAlign w:val="center"/>
          </w:tcPr>
          <w:p>
            <w:pPr>
              <w:pStyle w:val="AurekTable"/>
              <w:jc w:val="left"/>
            </w:pPr>
            <w:r>
              <w:rPr>
                <w:rFonts w:ascii="Calibri" w:hAnsi="Calibri" w:eastAsia="Microsoft YaHei"/>
                <w:sz w:val="18"/>
              </w:rPr>
              <w:t>真空源在指定压差、最低供气压力下的抽吸流量下界</w:t>
            </w:r>
          </w:p>
        </w:tc>
        <w:tc>
          <w:tcPr>
            <w:tcW w:type="dxa" w:w="4080"/>
            <w:vAlign w:val="center"/>
          </w:tcPr>
          <w:p>
            <w:pPr>
              <w:pStyle w:val="AurekTable"/>
              <w:jc w:val="left"/>
            </w:pPr>
            <w:r>
              <w:rPr>
                <w:rFonts w:ascii="Calibri" w:hAnsi="Calibri" w:eastAsia="Microsoft YaHei"/>
                <w:sz w:val="18"/>
              </w:rPr>
              <w:t>NL/min</w:t>
            </w:r>
          </w:p>
        </w:tc>
      </w:tr>
      <w:tr>
        <w:trPr>
          <w:cantSplit w:val="true"/>
        </w:trPr>
        <w:tc>
          <w:tcPr>
            <w:tcW w:type="dxa" w:w="1800"/>
            <w:shd w:fill="F2F4F7"/>
            <w:vAlign w:val="center"/>
          </w:tcPr>
          <w:p>
            <w:pPr>
              <w:pStyle w:val="AurekTable"/>
              <w:jc w:val="left"/>
            </w:pPr>
            <w:r>
              <w:rPr>
                <w:rFonts w:ascii="Calibri" w:hAnsi="Calibri" w:eastAsia="Microsoft YaHei"/>
                <w:sz w:val="18"/>
              </w:rPr>
              <w:t>Q_L,UB</w:t>
            </w:r>
          </w:p>
        </w:tc>
        <w:tc>
          <w:tcPr>
            <w:tcW w:type="dxa" w:w="3480"/>
            <w:vAlign w:val="center"/>
          </w:tcPr>
          <w:p>
            <w:pPr>
              <w:pStyle w:val="AurekTable"/>
              <w:jc w:val="left"/>
            </w:pPr>
            <w:r>
              <w:rPr>
                <w:rFonts w:ascii="Calibri" w:hAnsi="Calibri" w:eastAsia="Microsoft YaHei"/>
                <w:sz w:val="18"/>
              </w:rPr>
              <w:t>样本、姿态、压缩量和污染边界内的泄漏流量上界</w:t>
            </w:r>
          </w:p>
        </w:tc>
        <w:tc>
          <w:tcPr>
            <w:tcW w:type="dxa" w:w="4080"/>
            <w:vAlign w:val="center"/>
          </w:tcPr>
          <w:p>
            <w:pPr>
              <w:pStyle w:val="AurekTable"/>
              <w:jc w:val="left"/>
            </w:pPr>
            <w:r>
              <w:rPr>
                <w:rFonts w:ascii="Calibri" w:hAnsi="Calibri" w:eastAsia="Microsoft YaHei"/>
                <w:sz w:val="18"/>
              </w:rPr>
              <w:t>NL/min</w:t>
            </w:r>
          </w:p>
        </w:tc>
      </w:tr>
      <w:tr>
        <w:trPr>
          <w:cantSplit w:val="true"/>
        </w:trPr>
        <w:tc>
          <w:tcPr>
            <w:tcW w:type="dxa" w:w="1800"/>
            <w:shd w:fill="F2F4F7"/>
            <w:vAlign w:val="center"/>
          </w:tcPr>
          <w:p>
            <w:pPr>
              <w:pStyle w:val="AurekTable"/>
              <w:jc w:val="left"/>
            </w:pPr>
            <w:r>
              <w:rPr>
                <w:rFonts w:ascii="Calibri" w:hAnsi="Calibri" w:eastAsia="Microsoft YaHei"/>
                <w:sz w:val="18"/>
              </w:rPr>
              <w:t>μ_LB</w:t>
            </w:r>
          </w:p>
        </w:tc>
        <w:tc>
          <w:tcPr>
            <w:tcW w:type="dxa" w:w="3480"/>
            <w:vAlign w:val="center"/>
          </w:tcPr>
          <w:p>
            <w:pPr>
              <w:pStyle w:val="AurekTable"/>
              <w:jc w:val="left"/>
            </w:pPr>
            <w:r>
              <w:rPr>
                <w:rFonts w:ascii="Calibri" w:hAnsi="Calibri" w:eastAsia="Microsoft YaHei"/>
                <w:sz w:val="18"/>
              </w:rPr>
              <w:t>接触副在污染和寿命边界下、扣除不确定度后的摩擦系数下界</w:t>
            </w:r>
          </w:p>
        </w:tc>
        <w:tc>
          <w:tcPr>
            <w:tcW w:type="dxa" w:w="4080"/>
            <w:vAlign w:val="center"/>
          </w:tcPr>
          <w:p>
            <w:pPr>
              <w:pStyle w:val="AurekTable"/>
              <w:jc w:val="left"/>
            </w:pPr>
            <w:r>
              <w:rPr>
                <w:rFonts w:ascii="Calibri" w:hAnsi="Calibri" w:eastAsia="Microsoft YaHei"/>
                <w:sz w:val="18"/>
              </w:rPr>
              <w:t>—</w:t>
            </w:r>
          </w:p>
        </w:tc>
      </w:tr>
      <w:tr>
        <w:trPr>
          <w:cantSplit w:val="true"/>
        </w:trPr>
        <w:tc>
          <w:tcPr>
            <w:tcW w:type="dxa" w:w="1800"/>
            <w:shd w:fill="F2F4F7"/>
            <w:vAlign w:val="center"/>
          </w:tcPr>
          <w:p>
            <w:pPr>
              <w:pStyle w:val="AurekTable"/>
              <w:jc w:val="left"/>
            </w:pPr>
            <w:r>
              <w:rPr>
                <w:rFonts w:ascii="Calibri" w:hAnsi="Calibri" w:eastAsia="Microsoft YaHei"/>
                <w:sz w:val="18"/>
              </w:rPr>
              <w:t>N_i、T_i</w:t>
            </w:r>
          </w:p>
        </w:tc>
        <w:tc>
          <w:tcPr>
            <w:tcW w:type="dxa" w:w="3480"/>
            <w:vAlign w:val="center"/>
          </w:tcPr>
          <w:p>
            <w:pPr>
              <w:pStyle w:val="AurekTable"/>
              <w:jc w:val="left"/>
            </w:pPr>
            <w:r>
              <w:rPr>
                <w:rFonts w:ascii="Calibri" w:hAnsi="Calibri" w:eastAsia="Microsoft YaHei"/>
                <w:sz w:val="18"/>
              </w:rPr>
              <w:t>第 i 个吸盘承担的法向拉力及吸附面内二维切向力向量</w:t>
            </w:r>
          </w:p>
        </w:tc>
        <w:tc>
          <w:tcPr>
            <w:tcW w:type="dxa" w:w="4080"/>
            <w:vAlign w:val="center"/>
          </w:tcPr>
          <w:p>
            <w:pPr>
              <w:pStyle w:val="AurekTable"/>
              <w:jc w:val="left"/>
            </w:pPr>
            <w:r>
              <w:rPr>
                <w:rFonts w:ascii="Calibri" w:hAnsi="Calibri" w:eastAsia="Microsoft YaHei"/>
                <w:sz w:val="18"/>
              </w:rPr>
              <w:t>N</w:t>
            </w:r>
          </w:p>
        </w:tc>
      </w:tr>
      <w:tr>
        <w:trPr>
          <w:cantSplit w:val="true"/>
        </w:trPr>
        <w:tc>
          <w:tcPr>
            <w:tcW w:type="dxa" w:w="1800"/>
            <w:shd w:fill="F2F4F7"/>
            <w:vAlign w:val="center"/>
          </w:tcPr>
          <w:p>
            <w:pPr>
              <w:pStyle w:val="AurekTable"/>
              <w:jc w:val="left"/>
            </w:pPr>
            <w:r>
              <w:rPr>
                <w:rFonts w:ascii="Calibri" w:hAnsi="Calibri" w:eastAsia="Microsoft YaHei"/>
                <w:sz w:val="18"/>
              </w:rPr>
              <w:t>m_UB、g</w:t>
            </w:r>
          </w:p>
        </w:tc>
        <w:tc>
          <w:tcPr>
            <w:tcW w:type="dxa" w:w="3480"/>
            <w:vAlign w:val="center"/>
          </w:tcPr>
          <w:p>
            <w:pPr>
              <w:pStyle w:val="AurekTable"/>
              <w:jc w:val="left"/>
            </w:pPr>
            <w:r>
              <w:rPr>
                <w:rFonts w:ascii="Calibri" w:hAnsi="Calibri" w:eastAsia="Microsoft YaHei"/>
                <w:sz w:val="18"/>
              </w:rPr>
              <w:t>工件质量上界、重力加速度；本文 g＝9.81 m/s²</w:t>
            </w:r>
          </w:p>
        </w:tc>
        <w:tc>
          <w:tcPr>
            <w:tcW w:type="dxa" w:w="4080"/>
            <w:vAlign w:val="center"/>
          </w:tcPr>
          <w:p>
            <w:pPr>
              <w:pStyle w:val="AurekTable"/>
              <w:jc w:val="left"/>
            </w:pPr>
            <w:r>
              <w:rPr>
                <w:rFonts w:ascii="Calibri" w:hAnsi="Calibri" w:eastAsia="Microsoft YaHei"/>
                <w:sz w:val="18"/>
              </w:rPr>
              <w:t>kg、m/s²</w:t>
            </w:r>
          </w:p>
        </w:tc>
      </w:tr>
      <w:tr>
        <w:trPr>
          <w:cantSplit w:val="true"/>
        </w:trPr>
        <w:tc>
          <w:tcPr>
            <w:tcW w:type="dxa" w:w="1800"/>
            <w:shd w:fill="F2F4F7"/>
            <w:vAlign w:val="center"/>
          </w:tcPr>
          <w:p>
            <w:pPr>
              <w:pStyle w:val="AurekTable"/>
              <w:jc w:val="left"/>
            </w:pPr>
            <w:r>
              <w:rPr>
                <w:rFonts w:ascii="Calibri" w:hAnsi="Calibri" w:eastAsia="Microsoft YaHei"/>
                <w:sz w:val="18"/>
              </w:rPr>
              <w:t>a_n,UB、a_t,UB</w:t>
            </w:r>
          </w:p>
        </w:tc>
        <w:tc>
          <w:tcPr>
            <w:tcW w:type="dxa" w:w="3480"/>
            <w:vAlign w:val="center"/>
          </w:tcPr>
          <w:p>
            <w:pPr>
              <w:pStyle w:val="AurekTable"/>
              <w:jc w:val="left"/>
            </w:pPr>
            <w:r>
              <w:rPr>
                <w:rFonts w:ascii="Calibri" w:hAnsi="Calibri" w:eastAsia="Microsoft YaHei"/>
                <w:sz w:val="18"/>
              </w:rPr>
              <w:t>含正常、故障制动和落位过程的法向与切向加速度上界</w:t>
            </w:r>
          </w:p>
        </w:tc>
        <w:tc>
          <w:tcPr>
            <w:tcW w:type="dxa" w:w="4080"/>
            <w:vAlign w:val="center"/>
          </w:tcPr>
          <w:p>
            <w:pPr>
              <w:pStyle w:val="AurekTable"/>
              <w:jc w:val="left"/>
            </w:pPr>
            <w:r>
              <w:rPr>
                <w:rFonts w:ascii="Calibri" w:hAnsi="Calibri" w:eastAsia="Microsoft YaHei"/>
                <w:sz w:val="18"/>
              </w:rPr>
              <w:t>m/s²</w:t>
            </w:r>
          </w:p>
        </w:tc>
      </w:tr>
      <w:tr>
        <w:trPr>
          <w:cantSplit w:val="true"/>
        </w:trPr>
        <w:tc>
          <w:tcPr>
            <w:tcW w:type="dxa" w:w="1800"/>
            <w:shd w:fill="F2F4F7"/>
            <w:vAlign w:val="center"/>
          </w:tcPr>
          <w:p>
            <w:pPr>
              <w:pStyle w:val="AurekTable"/>
              <w:jc w:val="left"/>
            </w:pPr>
            <w:r>
              <w:rPr>
                <w:rFonts w:ascii="Calibri" w:hAnsi="Calibri" w:eastAsia="Microsoft YaHei"/>
                <w:sz w:val="18"/>
              </w:rPr>
              <w:t>S_L、K_Q</w:t>
            </w:r>
          </w:p>
        </w:tc>
        <w:tc>
          <w:tcPr>
            <w:tcW w:type="dxa" w:w="3480"/>
            <w:vAlign w:val="center"/>
          </w:tcPr>
          <w:p>
            <w:pPr>
              <w:pStyle w:val="AurekTable"/>
              <w:jc w:val="left"/>
            </w:pPr>
            <w:r>
              <w:rPr>
                <w:rFonts w:ascii="Calibri" w:hAnsi="Calibri" w:eastAsia="Microsoft YaHei"/>
                <w:sz w:val="18"/>
              </w:rPr>
              <w:t>载荷安全系数、流量储备系数</w:t>
            </w:r>
          </w:p>
        </w:tc>
        <w:tc>
          <w:tcPr>
            <w:tcW w:type="dxa" w:w="4080"/>
            <w:vAlign w:val="center"/>
          </w:tcPr>
          <w:p>
            <w:pPr>
              <w:pStyle w:val="AurekTable"/>
              <w:jc w:val="left"/>
            </w:pPr>
            <w:r>
              <w:rPr>
                <w:rFonts w:ascii="Calibri" w:hAnsi="Calibri" w:eastAsia="Microsoft YaHei"/>
                <w:sz w:val="18"/>
              </w:rPr>
              <w:t>—</w:t>
            </w:r>
          </w:p>
        </w:tc>
      </w:tr>
      <w:tr>
        <w:trPr>
          <w:cantSplit w:val="true"/>
        </w:trPr>
        <w:tc>
          <w:tcPr>
            <w:tcW w:type="dxa" w:w="1800"/>
            <w:shd w:fill="F2F4F7"/>
            <w:vAlign w:val="center"/>
          </w:tcPr>
          <w:p>
            <w:pPr>
              <w:pStyle w:val="AurekTable"/>
              <w:jc w:val="left"/>
            </w:pPr>
            <w:r>
              <w:rPr>
                <w:rFonts w:ascii="Calibri" w:hAnsi="Calibri" w:eastAsia="Microsoft YaHei"/>
                <w:sz w:val="18"/>
              </w:rPr>
              <w:t>V_Z,UB</w:t>
            </w:r>
          </w:p>
        </w:tc>
        <w:tc>
          <w:tcPr>
            <w:tcW w:type="dxa" w:w="3480"/>
            <w:vAlign w:val="center"/>
          </w:tcPr>
          <w:p>
            <w:pPr>
              <w:pStyle w:val="AurekTable"/>
              <w:jc w:val="left"/>
            </w:pPr>
            <w:r>
              <w:rPr>
                <w:rFonts w:ascii="Calibri" w:hAnsi="Calibri" w:eastAsia="Microsoft YaHei"/>
                <w:sz w:val="18"/>
              </w:rPr>
              <w:t>单分区需要抽空的等效容积上界</w:t>
            </w:r>
          </w:p>
        </w:tc>
        <w:tc>
          <w:tcPr>
            <w:tcW w:type="dxa" w:w="4080"/>
            <w:vAlign w:val="center"/>
          </w:tcPr>
          <w:p>
            <w:pPr>
              <w:pStyle w:val="AurekTable"/>
              <w:jc w:val="left"/>
            </w:pPr>
            <w:r>
              <w:rPr>
                <w:rFonts w:ascii="Calibri" w:hAnsi="Calibri" w:eastAsia="Microsoft YaHei"/>
                <w:sz w:val="18"/>
              </w:rPr>
              <w:t>L</w:t>
            </w:r>
          </w:p>
        </w:tc>
      </w:tr>
      <w:tr>
        <w:trPr>
          <w:cantSplit w:val="true"/>
        </w:trPr>
        <w:tc>
          <w:tcPr>
            <w:tcW w:type="dxa" w:w="1800"/>
            <w:shd w:fill="F2F4F7"/>
            <w:vAlign w:val="center"/>
          </w:tcPr>
          <w:p>
            <w:pPr>
              <w:pStyle w:val="AurekTable"/>
              <w:jc w:val="left"/>
            </w:pPr>
            <w:r>
              <w:rPr>
                <w:rFonts w:ascii="Calibri" w:hAnsi="Calibri" w:eastAsia="Microsoft YaHei"/>
                <w:sz w:val="18"/>
              </w:rPr>
              <w:t>p_N、T_N</w:t>
            </w:r>
          </w:p>
        </w:tc>
        <w:tc>
          <w:tcPr>
            <w:tcW w:type="dxa" w:w="3480"/>
            <w:vAlign w:val="center"/>
          </w:tcPr>
          <w:p>
            <w:pPr>
              <w:pStyle w:val="AurekTable"/>
              <w:jc w:val="left"/>
            </w:pPr>
            <w:r>
              <w:rPr>
                <w:rFonts w:ascii="Calibri" w:hAnsi="Calibri" w:eastAsia="Microsoft YaHei"/>
                <w:sz w:val="18"/>
              </w:rPr>
              <w:t>标准状态；本文固定为 101.325 kPa、293.15 K</w:t>
            </w:r>
          </w:p>
        </w:tc>
        <w:tc>
          <w:tcPr>
            <w:tcW w:type="dxa" w:w="4080"/>
            <w:vAlign w:val="center"/>
          </w:tcPr>
          <w:p>
            <w:pPr>
              <w:pStyle w:val="AurekTable"/>
              <w:jc w:val="left"/>
            </w:pPr>
            <w:r>
              <w:rPr>
                <w:rFonts w:ascii="Calibri" w:hAnsi="Calibri" w:eastAsia="Microsoft YaHei"/>
                <w:sz w:val="18"/>
              </w:rPr>
              <w:t>kPa、K</w:t>
            </w:r>
          </w:p>
        </w:tc>
      </w:tr>
      <w:tr>
        <w:trPr>
          <w:cantSplit w:val="true"/>
        </w:trPr>
        <w:tc>
          <w:tcPr>
            <w:tcW w:type="dxa" w:w="1800"/>
            <w:shd w:fill="F2F4F7"/>
            <w:vAlign w:val="center"/>
          </w:tcPr>
          <w:p>
            <w:pPr>
              <w:pStyle w:val="AurekTable"/>
              <w:jc w:val="left"/>
            </w:pPr>
            <w:r>
              <w:rPr>
                <w:rFonts w:ascii="Calibri" w:hAnsi="Calibri" w:eastAsia="Microsoft YaHei"/>
                <w:sz w:val="18"/>
              </w:rPr>
              <w:t>U_x</w:t>
            </w:r>
          </w:p>
        </w:tc>
        <w:tc>
          <w:tcPr>
            <w:tcW w:type="dxa" w:w="3480"/>
            <w:vAlign w:val="center"/>
          </w:tcPr>
          <w:p>
            <w:pPr>
              <w:pStyle w:val="AurekTable"/>
              <w:jc w:val="left"/>
            </w:pPr>
            <w:r>
              <w:rPr>
                <w:rFonts w:ascii="Calibri" w:hAnsi="Calibri" w:eastAsia="Microsoft YaHei"/>
                <w:sz w:val="18"/>
              </w:rPr>
              <w:t>量 x 的扩展测量不确定度，k＝2</w:t>
            </w:r>
          </w:p>
        </w:tc>
        <w:tc>
          <w:tcPr>
            <w:tcW w:type="dxa" w:w="4080"/>
            <w:vAlign w:val="center"/>
          </w:tcPr>
          <w:p>
            <w:pPr>
              <w:pStyle w:val="AurekTable"/>
              <w:jc w:val="left"/>
            </w:pPr>
            <w:r>
              <w:rPr>
                <w:rFonts w:ascii="Calibri" w:hAnsi="Calibri" w:eastAsia="Microsoft YaHei"/>
                <w:sz w:val="18"/>
              </w:rPr>
              <w:t>与 x 相同</w:t>
            </w:r>
          </w:p>
        </w:tc>
      </w:tr>
    </w:tbl>
    <w:p>
      <w:pPr>
        <w:spacing w:after="40"/>
      </w:pPr>
    </w:p>
    <w:p>
      <w:pPr/>
      <w:r>
        <w:rPr>
          <w:rFonts w:ascii="Calibri" w:hAnsi="Calibri" w:eastAsia="Microsoft YaHei"/>
          <w:sz w:val="22"/>
        </w:rPr>
        <w:t>有效面积必须来自吸盘几何、5 mm～9 mm 锁定压缩量和测量不确定度，不能把外轮廓面积直接当作有效面积。本文规定 U_A/A≤2%，计算使用 A_eff,LB＝A_eff,meas−U_A。Schmalz 的官方技术说明以 F＝ΔpA 表达理论保持力，同时指出多孔、粗糙工件会降低可达到的真空度[6][7]。供应商目录保持力用于初选；子系统工程放行统一使用压差下界、有效面积下界和本报告安全系数。</w:t>
      </w:r>
    </w:p>
    <w:p>
      <w:pPr>
        <w:pStyle w:val="Heading1"/>
      </w:pPr>
      <w:r>
        <w:rPr>
          <w:rFonts w:ascii="Calibri" w:hAnsi="Calibri" w:eastAsia="Microsoft YaHei"/>
        </w:rPr>
        <w:t>02 透气、边缘密封与泄漏机理</w:t>
      </w:r>
    </w:p>
    <w:p>
      <w:pPr/>
      <w:r>
        <w:rPr>
          <w:rFonts w:ascii="Calibri" w:hAnsi="Calibri" w:eastAsia="Microsoft YaHei"/>
          <w:sz w:val="22"/>
        </w:rPr>
        <w:t>系统进气由三部分组成：材料孔隙流 Q_P、杯唇与表面微通道造成的密封泄漏 Q_E，以及接头、阀和管路泄漏 Q_H。</w:t>
      </w:r>
    </w:p>
    <w:p>
      <w:pPr>
        <w:pStyle w:val="AurekEquation"/>
        <w:spacing w:before="80" w:after="160"/>
        <w:jc w:val="center"/>
        <w:shd w:fill="EEF3F7"/>
      </w:pPr>
      <w:r>
        <w:rPr>
          <w:rFonts w:ascii="Consolas" w:hAnsi="Consolas" w:eastAsia="Microsoft YaHei"/>
          <w:color w:val="203748"/>
          <w:sz w:val="19"/>
        </w:rPr>
        <w:t>Q_L = Q_P + Q_E + Q_H</w:t>
      </w:r>
    </w:p>
    <w:p>
      <w:pPr/>
      <w:r>
        <w:rPr>
          <w:rFonts w:ascii="Calibri" w:hAnsi="Calibri" w:eastAsia="Microsoft YaHei"/>
          <w:sz w:val="22"/>
        </w:rPr>
        <w:t>瓦楞纸面纤维、压痕、印刷涂层、胶缝、封箱胶带和局部翘曲会改变流阻；吸盘压缩量、杯唇硬度和落点则改变边缘密封。Piab 关于瓦楞纸板的官方技术资料指出，纸板孔隙率和杯口密封会造成循环间泄漏变化，并以 F = AP 说明低真空、大面积方案的承载逻辑[8]。该资料用于支撑泄漏机理与选型方法。</w:t>
      </w:r>
    </w:p>
    <w:p>
      <w:pPr/>
      <w:r>
        <w:rPr>
          <w:rFonts w:ascii="Calibri" w:hAnsi="Calibri" w:eastAsia="Microsoft YaHei"/>
          <w:sz w:val="22"/>
        </w:rPr>
        <w:t>Tiwari 与 Persson 的原始研究通过不同粗糙度基材和吸盘试验说明，界面粗糙度引起的泄漏、吸盘容积与刚度会共同影响脱离时间[9]。Gabriel 等人的原始研究把表面粗糙度、吸盘直径与数量纳入泄漏和能耗模型[10]。两项研究共同支持一个工程结论：泄漏必须在真实接触副和真实压缩状态下表征，不能只用材料名称赋一个固定系数。</w:t>
      </w:r>
    </w:p>
    <w:p>
      <w:pPr/>
      <w:r>
        <w:rPr>
          <w:rFonts w:ascii="Calibri" w:hAnsi="Calibri" w:eastAsia="Microsoft YaHei"/>
          <w:sz w:val="22"/>
        </w:rPr>
        <w:t>检漏时必须分清“硬件自身泄漏”和“工件过程泄漏”。先用不透气标准板封住全部吸盘，在 45 kPa 压差处测 Q_H；再换实际工件测 Q_L。硬件门固定为 Q_H,UB/Q_S,LB≤0.05，超限即停机修复，禁止用加大真空源掩盖接头或阀件故障。实际工件测量使用第 08 章十个边界单元，不以“最差”“相似”或“典型”替代数值单元。</w:t>
      </w:r>
    </w:p>
    <w:p>
      <w:pPr>
        <w:pStyle w:val="Heading2"/>
      </w:pPr>
      <w:r>
        <w:rPr>
          <w:rFonts w:ascii="Calibri" w:hAnsi="Calibri" w:eastAsia="Microsoft YaHei"/>
        </w:rPr>
        <w:t>02.1 泄漏边界的固定测试方法</w:t>
      </w:r>
    </w:p>
    <w:p>
      <w:pPr/>
      <w:r>
        <w:rPr>
          <w:rFonts w:ascii="Calibri" w:hAnsi="Calibri" w:eastAsia="Microsoft YaHei"/>
          <w:sz w:val="22"/>
        </w:rPr>
        <w:t>每次测试执行相同顺序：吸盘以 0.10 m/s 法向速度接触，压缩量按边界单元锁定为 5 mm、7 mm 或 9 mm，开启单区真空源，记录 0～12 s 的压力与标准流量。稳定窗口固定为第 10.0～12.0 s；窗口内每个压力下界均须≥50 kPa，压力示值峰峰值须≤2 kPa。泄漏示值取该窗口内最大的 100 ms 滑动平均值，再加 U_Q 得到 Q_L,UB。吸盘接触后 2.0 s 内未达到 50 kPa 下界并稳定 200 ms，该循环直接判 R4 失败，原始数据仍保留。</w:t>
      </w:r>
    </w:p>
    <w:p>
      <w:pPr/>
      <w:r>
        <w:rPr>
          <w:rFonts w:ascii="Calibri" w:hAnsi="Calibri" w:eastAsia="Microsoft YaHei"/>
          <w:sz w:val="22"/>
        </w:rPr>
        <w:t>本报告的污染边界固定为23±2 ℃、相对湿度50±10%条件下，将同批纸箱材料制成并筛分为75～150 μm纸粉，在吸附面均匀施加0.50 g/m²；超过该面密度、存在液态水、油或胶黏物的纸箱不在本放行边界内。寿命边界固定为吸盘完成100000次额定压缩循环，或密封唇相对新件磨损达到0.50 mm，两者先到者。摩擦、有效面积、泄漏和动态试验均须覆盖新件与该寿命边界。</w:t>
      </w:r>
    </w:p>
    <w:p>
      <w:pPr/>
      <w:r>
        <w:rPr>
          <w:rFonts w:ascii="Calibri" w:hAnsi="Calibri" w:eastAsia="Microsoft YaHei"/>
          <w:sz w:val="22"/>
        </w:rPr>
        <w:t>纸面撕裂、杯唇跨越箱盖开缝、箱盖被抽起，或密封唇与高度差/深度≥0.50 mm 的折线、压痕、胶带台阶之间的最小距离＜10 mm，该循环直接失败且该落点列入禁区图。禁区图采用工装坐标，边界坐标精确到 1 mm。</w:t>
      </w:r>
    </w:p>
    <w:p>
      <w:pPr/>
      <w:r>
        <w:rPr>
          <w:rFonts w:ascii="Calibri" w:hAnsi="Calibri" w:eastAsia="Microsoft YaHei"/>
          <w:sz w:val="22"/>
        </w:rPr>
        <w:t>工件族只能在材料牌号、楞型、层数、涂层、印刷覆盖、胶带方案、允许落点和质量上限完全相同时共用泄漏数据。任何一项不同都建立独立数据集。该规则把“纸箱看起来相似”转化为可审计边界，防止低泄漏样本掩盖高泄漏批次。</w:t>
      </w:r>
    </w:p>
    <w:p>
      <w:pPr>
        <w:pStyle w:val="Heading1"/>
      </w:pPr>
      <w:r>
        <w:rPr>
          <w:rFonts w:ascii="Calibri" w:hAnsi="Calibri" w:eastAsia="Microsoft YaHei"/>
        </w:rPr>
        <w:t>03 吸附承载、摩擦与动态载荷模型</w:t>
      </w:r>
    </w:p>
    <w:p>
      <w:pPr/>
      <w:r>
        <w:rPr>
          <w:rFonts w:ascii="Calibri" w:hAnsi="Calibri" w:eastAsia="Microsoft YaHei"/>
          <w:sz w:val="22"/>
        </w:rPr>
        <w:t>第 i 个吸盘的法向容量下界和系统总容量为：</w:t>
      </w:r>
    </w:p>
    <w:p>
      <w:pPr>
        <w:pStyle w:val="AurekEquation"/>
        <w:spacing w:before="80" w:after="160"/>
        <w:jc w:val="center"/>
        <w:shd w:fill="EEF3F7"/>
      </w:pPr>
      <w:r>
        <w:rPr>
          <w:rFonts w:ascii="Consolas" w:hAnsi="Consolas" w:eastAsia="Microsoft YaHei"/>
          <w:color w:val="203748"/>
          <w:sz w:val="19"/>
        </w:rPr>
        <w:t>C_i = Δp_min,LB A_eff,LB,i</w:t>
        <w:br/>
        <w:t>F_N,cap,LB = ΣC_i</w:t>
      </w:r>
    </w:p>
    <w:p>
      <w:pPr/>
      <w:r>
        <w:rPr>
          <w:rFonts w:ascii="Calibri" w:hAnsi="Calibri" w:eastAsia="Microsoft YaHei"/>
          <w:sz w:val="22"/>
        </w:rPr>
        <w:t>设吸附面从水平面转过 θ，法向和切向设计需求按下式计算。质量、加速度和偏心取测量上界；加速度包络同时包含正常生产、单区故障制动、转安全位和落位的逐轴峰值，不使用平均速度替代。</w:t>
      </w:r>
    </w:p>
    <w:p>
      <w:pPr>
        <w:pStyle w:val="AurekEquation"/>
        <w:spacing w:before="80" w:after="160"/>
        <w:jc w:val="center"/>
        <w:shd w:fill="EEF3F7"/>
      </w:pPr>
      <w:r>
        <w:rPr>
          <w:rFonts w:ascii="Consolas" w:hAnsi="Consolas" w:eastAsia="Microsoft YaHei"/>
          <w:color w:val="203748"/>
          <w:sz w:val="19"/>
        </w:rPr>
        <w:t>F_N,d = S_L m_UB max_t|g cosθ + a_n,UB(t)|</w:t>
        <w:br/>
        <w:t>F_T,d = S_L m_UB max_t√[(g sinθ + a_x,UB(t))² + a_y,UB(t)²]</w:t>
        <w:br/>
        <w:br/>
        <w:t>快速筛查条件：</w:t>
        <w:br/>
        <w:t>F_N,cap,LB ≥ F_N,d</w:t>
        <w:br/>
        <w:t>μ_LB F_N,cap,LB ≥ F_T,d</w:t>
      </w:r>
    </w:p>
    <w:p>
      <w:pPr/>
      <w:r>
        <w:rPr>
          <w:rFonts w:ascii="Calibri" w:hAnsi="Calibri" w:eastAsia="Microsoft YaHei"/>
          <w:sz w:val="22"/>
        </w:rPr>
        <w:t>摩擦系数试验使用三个纸箱批次、每批10个独立试片，在45 kPa和50 kPa压差两档分别测得首次连续滑移2 mm时的切向力。每一压差、每种新件/寿命件及清洁/0.50 g/m²纸粉状态均完成30次，μ_meas＝F_slip/(ΔpA_eff,meas)，取全部结果最小值并减去U_μ得到μ_LB；U_μ必须≤0.02。基准工况取μ_LB＝0.35。Schmalz 的设计资料要求对多孔工件开展吸附试验，并列出水平工件至少2、翻转工件至少2.5的安全系数[6]；本报告统一把2.5用于全部载荷方向。</w:t>
      </w:r>
    </w:p>
    <w:p>
      <w:pPr/>
      <w:r>
        <w:rPr>
          <w:rFonts w:ascii="Calibri" w:hAnsi="Calibri" w:eastAsia="Microsoft YaHei"/>
          <w:sz w:val="22"/>
        </w:rPr>
        <w:t>快速筛查通过后仍须校核组合载荷和三维偏心。坐标原点固定在工件重心，r_i为重心至第i杯作用点的向量，n为吸附面单位法向，T_i为面内二维向量，f_i＝N_i n＋T_i；M_external只包含不随重心合力表达的独立外加力偶。对每个10 ms路径采样时刻，必须求得一组满足下列条件的吸盘力：</w:t>
      </w:r>
    </w:p>
    <w:p>
      <w:pPr>
        <w:pStyle w:val="AurekEquation"/>
        <w:spacing w:before="80" w:after="160"/>
        <w:jc w:val="center"/>
        <w:shd w:fill="EEF3F7"/>
      </w:pPr>
      <w:r>
        <w:rPr>
          <w:rFonts w:ascii="Consolas" w:hAnsi="Consolas" w:eastAsia="Microsoft YaHei"/>
          <w:color w:val="203748"/>
          <w:sz w:val="19"/>
        </w:rPr>
        <w:t>N_i ≥ 0</w:t>
        <w:br/>
        <w:t>N_i/C_i + ||T_i||/(μ_LB C_i) ≤ 1</w:t>
        <w:br/>
        <w:br/>
        <w:t>Σf_i + f_external = 0</w:t>
        <w:br/>
        <w:t>Σ(r_i × f_i) + M_external = 0</w:t>
      </w:r>
    </w:p>
    <w:p>
      <w:pPr/>
      <w:r>
        <w:rPr>
          <w:rFonts w:ascii="Calibri" w:hAnsi="Calibri" w:eastAsia="Microsoft YaHei"/>
          <w:sz w:val="22"/>
        </w:rPr>
        <w:t>线性组合包络禁止在同一吸盘上同时重复使用全部法向容量和全部摩擦容量。存在满足全部平衡式与组合包络的力分配，判为通过；不存在即不通过。吸盘三维坐标、重心三维坐标、工件厚度力臂和故障制动峰值必须进入外力矩。纸板局部压溃、面层剥离和箱盖开裂另设材料承压判据；真空容量通过并不自动代表纸箱结构通过。</w:t>
      </w:r>
    </w:p>
    <w:p>
      <w:pPr>
        <w:pStyle w:val="Heading2"/>
      </w:pPr>
      <w:r>
        <w:rPr>
          <w:rFonts w:ascii="Calibri" w:hAnsi="Calibri" w:eastAsia="Microsoft YaHei"/>
        </w:rPr>
        <w:t>03.1 纸箱局部承压与变形门槛</w:t>
      </w:r>
    </w:p>
    <w:p>
      <w:pPr/>
      <w:r>
        <w:rPr>
          <w:rFonts w:ascii="Calibri" w:hAnsi="Calibri" w:eastAsia="Microsoft YaHei"/>
          <w:sz w:val="22"/>
        </w:rPr>
        <w:t>吸盘区域的平均压紧应力以 Δp_min,LB 计，但杯唇窄环处存在应力集中。项目必须用目标纸箱做静态保持和动态循环，验收后拆检吸附面。硬性通过条件为：箱盖不得被吸开，面纸不得从瓦楞芯剥离，不得出现贯穿破损；卸载60 s后，吸附区相对未加载基准面的永久凹陷测量上界必须≤2.00 mm。任一结构损伤出现，即使真空压力、载荷和节拍全部达标，R9仍判为不通过。</w:t>
      </w:r>
    </w:p>
    <w:p>
      <w:pPr/>
      <w:r>
        <w:rPr>
          <w:rFonts w:ascii="Calibri" w:hAnsi="Calibri" w:eastAsia="Microsoft YaHei"/>
          <w:sz w:val="22"/>
        </w:rPr>
        <w:t>材料承压试验在45 kPa下界和50 kPa下界两档分别持续10 min；动态试验按第08章六个动态路径单元各运行120循环。吸盘数量增加会扩大总承载面积，但不会自动降低单杯局部应力，因此每个吸盘的落点和压缩量都必须满足上述门槛。</w:t>
      </w:r>
    </w:p>
    <w:p>
      <w:pPr>
        <w:pStyle w:val="Heading1"/>
      </w:pPr>
      <w:r>
        <w:rPr>
          <w:rFonts w:ascii="Calibri" w:hAnsi="Calibri" w:eastAsia="Microsoft YaHei"/>
        </w:rPr>
        <w:t>04 泄漏流量平衡与真空建立时间</w:t>
      </w:r>
    </w:p>
    <w:p>
      <w:pPr/>
      <w:r>
        <w:rPr>
          <w:rFonts w:ascii="Calibri" w:hAnsi="Calibri" w:eastAsia="Microsoft YaHei"/>
          <w:sz w:val="22"/>
        </w:rPr>
        <w:t>真空源选型使用实际管路、阀、过滤器和发生器组合在最低供气表压 0.40 MPa、45 kPa 压差处的流量下界，不使用“最大吸入流量”或“最终真空度”两个孤立目录值。源和泄漏必须统一换算到 p_N＝101.325 kPa、T_N＝293.15 K。单分区硬性判据为：</w:t>
      </w:r>
    </w:p>
    <w:p>
      <w:pPr>
        <w:pStyle w:val="AurekEquation"/>
        <w:spacing w:before="80" w:after="160"/>
        <w:jc w:val="center"/>
        <w:shd w:fill="EEF3F7"/>
      </w:pPr>
      <w:r>
        <w:rPr>
          <w:rFonts w:ascii="Consolas" w:hAnsi="Consolas" w:eastAsia="Microsoft YaHei"/>
          <w:color w:val="203748"/>
          <w:sz w:val="19"/>
        </w:rPr>
        <w:t>Q_S,LB = Q_S,meas - U_QS</w:t>
        <w:br/>
        <w:t>Q_L,UB = Q_L,meas + U_QL</w:t>
        <w:br/>
        <w:br/>
        <w:t>Q_S,LB(45 kPa, 0.40 MPa供气) / Q_L,UB ≥ 1.50</w:t>
      </w:r>
    </w:p>
    <w:p>
      <w:pPr/>
      <w:r>
        <w:rPr>
          <w:rFonts w:ascii="Calibri" w:hAnsi="Calibri" w:eastAsia="Microsoft YaHei"/>
          <w:sz w:val="22"/>
        </w:rPr>
        <w:t>Q_L,meas 取完整测试矩阵中的最大示值，不取平均值，也不剔除吸附成功但泄漏偏高的样本。流量计、供应商曲线和管路换算的合成扩展不确定度均进入 U_Q；本报告门规定 U_Q/Q≤2%。SMC 官方资料给出了利用实际发生器、吸盘、工件和真空表反推泄漏量的方法，并说明粗糙或透气工件的泄漏会阻止系统达到所需真空[5]。GB/T 32293—2015只用于硬件 Q_H 检漏方法选择；Q_P、Q_E 和总过程流量 Q_L 使用本报告的工件过程测试。记录必须注明压力、温度、量程、采样率和标准状态。</w:t>
      </w:r>
    </w:p>
    <w:p>
      <w:pPr/>
      <w:r>
        <w:rPr>
          <w:rFonts w:ascii="Calibri" w:hAnsi="Calibri" w:eastAsia="Microsoft YaHei"/>
          <w:sz w:val="22"/>
        </w:rPr>
        <w:t>在 0 至 50 kPa 压差区间内，真空源扣除泄漏后的标准流量下界为 Q_net,LB。单区从大气压 p_0 抽至目标绝对压力 p_1 的保守时间为：</w:t>
      </w:r>
    </w:p>
    <w:p>
      <w:pPr>
        <w:pStyle w:val="AurekEquation"/>
        <w:spacing w:before="80" w:after="160"/>
        <w:jc w:val="center"/>
        <w:shd w:fill="EEF3F7"/>
      </w:pPr>
      <w:r>
        <w:rPr>
          <w:rFonts w:ascii="Consolas" w:hAnsi="Consolas" w:eastAsia="Microsoft YaHei"/>
          <w:color w:val="203748"/>
          <w:sz w:val="19"/>
        </w:rPr>
        <w:t>Q_net,LB = min[Q_S,LB(p) - Q_L,UB(p)]</w:t>
        <w:br/>
        <w:t>t_ev = V_Z,UB (p_0 - p_1) / (p_N Q_net,LB)</w:t>
        <w:br/>
        <w:t>t_pick = t_ev + t_stable + t_aux</w:t>
      </w:r>
    </w:p>
    <w:p>
      <w:pPr/>
      <w:r>
        <w:rPr>
          <w:rFonts w:ascii="Calibri" w:hAnsi="Calibri" w:eastAsia="Microsoft YaHei"/>
          <w:sz w:val="22"/>
        </w:rPr>
        <w:t>Q 需换算为 L/s，目标 p_1＝p_0−50 kPa。若 Q_net,LB≤0，直接判为不通过。t_stable＝0.20 s；阀响应、传感器响应、PLC扫描和许可输出的合计上界固定为 t_aux＝0.10 s。接触到全部分区压力下界达到 50 kPa、连续 20 个采样点合格且窗口峰峰值≤2 kPa的总时间必须≤2.0 s。任一分区超时、任一采样点低于阈值、30 ms 内没有新模拟量，或开关量与模拟量矛盾持续超过 50 ms，均禁止提升和水平加速。</w:t>
      </w:r>
    </w:p>
    <w:p>
      <w:pPr>
        <w:pStyle w:val="Heading1"/>
      </w:pPr>
      <w:r>
        <w:rPr>
          <w:rFonts w:ascii="Calibri" w:hAnsi="Calibri" w:eastAsia="Microsoft YaHei"/>
        </w:rPr>
        <w:t>05 分区、止回、限流与泄漏补偿架构</w:t>
      </w:r>
    </w:p>
    <w:p>
      <w:pPr/>
      <w:r>
        <w:rPr>
          <w:rFonts w:ascii="Calibri" w:hAnsi="Calibri" w:eastAsia="Microsoft YaHei"/>
          <w:sz w:val="22"/>
        </w:rPr>
        <w:t>四个分区分别配置真空发生支路、压力检测、隔离元件和诊断编号。每区吸盘在几何上跨越工件重心两侧；失去任一区后的实际三维坐标必须通过第03章组合载荷平衡，不另用“吸盘数量足够”或二维外观判断替代。第06章锁定x-z平面并把全部y向输入设为零。中央总管压力只能用于诊断，不能代替分区许可。</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架构元件</w:t>
            </w:r>
          </w:p>
        </w:tc>
        <w:tc>
          <w:tcPr>
            <w:tcW w:type="dxa" w:w="3480"/>
            <w:shd w:fill="2E74B5"/>
            <w:vAlign w:val="center"/>
          </w:tcPr>
          <w:p>
            <w:pPr>
              <w:pStyle w:val="AurekTable"/>
              <w:keepNext/>
              <w:keepLines/>
              <w:jc w:val="center"/>
            </w:pPr>
            <w:r>
              <w:rPr>
                <w:rFonts w:ascii="Calibri" w:hAnsi="Calibri" w:eastAsia="Microsoft YaHei"/>
                <w:b/>
                <w:color w:val="FFFFFF"/>
                <w:sz w:val="18"/>
              </w:rPr>
              <w:t>强制功能</w:t>
            </w:r>
          </w:p>
        </w:tc>
        <w:tc>
          <w:tcPr>
            <w:tcW w:type="dxa" w:w="4080"/>
            <w:shd w:fill="2E74B5"/>
            <w:vAlign w:val="center"/>
          </w:tcPr>
          <w:p>
            <w:pPr>
              <w:pStyle w:val="AurekTable"/>
              <w:keepNext/>
              <w:keepLines/>
              <w:jc w:val="center"/>
            </w:pPr>
            <w:r>
              <w:rPr>
                <w:rFonts w:ascii="Calibri" w:hAnsi="Calibri" w:eastAsia="Microsoft YaHei"/>
                <w:b/>
                <w:color w:val="FFFFFF"/>
                <w:sz w:val="18"/>
              </w:rPr>
              <w:t>不合格状态</w:t>
            </w:r>
          </w:p>
        </w:tc>
      </w:tr>
      <w:tr>
        <w:trPr>
          <w:cantSplit w:val="true"/>
        </w:trPr>
        <w:tc>
          <w:tcPr>
            <w:tcW w:type="dxa" w:w="1800"/>
            <w:shd w:fill="F2F4F7"/>
            <w:vAlign w:val="center"/>
          </w:tcPr>
          <w:p>
            <w:pPr>
              <w:pStyle w:val="AurekTable"/>
              <w:jc w:val="left"/>
            </w:pPr>
            <w:r>
              <w:rPr>
                <w:rFonts w:ascii="Calibri" w:hAnsi="Calibri" w:eastAsia="Microsoft YaHei"/>
                <w:sz w:val="18"/>
              </w:rPr>
              <w:t>独立分区取压</w:t>
            </w:r>
          </w:p>
        </w:tc>
        <w:tc>
          <w:tcPr>
            <w:tcW w:type="dxa" w:w="3480"/>
            <w:vAlign w:val="center"/>
          </w:tcPr>
          <w:p>
            <w:pPr>
              <w:pStyle w:val="AurekTable"/>
              <w:jc w:val="left"/>
            </w:pPr>
            <w:r>
              <w:rPr>
                <w:rFonts w:ascii="Calibri" w:hAnsi="Calibri" w:eastAsia="Microsoft YaHei"/>
                <w:sz w:val="18"/>
              </w:rPr>
              <w:t>识别局部漏气、空吸和脱杯</w:t>
            </w:r>
          </w:p>
        </w:tc>
        <w:tc>
          <w:tcPr>
            <w:tcW w:type="dxa" w:w="4080"/>
            <w:vAlign w:val="center"/>
          </w:tcPr>
          <w:p>
            <w:pPr>
              <w:pStyle w:val="AurekTable"/>
              <w:jc w:val="left"/>
            </w:pPr>
            <w:r>
              <w:rPr>
                <w:rFonts w:ascii="Calibri" w:hAnsi="Calibri" w:eastAsia="Microsoft YaHei"/>
                <w:sz w:val="18"/>
              </w:rPr>
              <w:t>只测总管压力</w:t>
            </w:r>
          </w:p>
        </w:tc>
      </w:tr>
      <w:tr>
        <w:trPr>
          <w:cantSplit w:val="true"/>
        </w:trPr>
        <w:tc>
          <w:tcPr>
            <w:tcW w:type="dxa" w:w="1800"/>
            <w:shd w:fill="F2F4F7"/>
            <w:vAlign w:val="center"/>
          </w:tcPr>
          <w:p>
            <w:pPr>
              <w:pStyle w:val="AurekTable"/>
              <w:jc w:val="left"/>
            </w:pPr>
            <w:r>
              <w:rPr>
                <w:rFonts w:ascii="Calibri" w:hAnsi="Calibri" w:eastAsia="Microsoft YaHei"/>
                <w:sz w:val="18"/>
              </w:rPr>
              <w:t>止回或真空节流</w:t>
            </w:r>
          </w:p>
        </w:tc>
        <w:tc>
          <w:tcPr>
            <w:tcW w:type="dxa" w:w="3480"/>
            <w:vAlign w:val="center"/>
          </w:tcPr>
          <w:p>
            <w:pPr>
              <w:pStyle w:val="AurekTable"/>
              <w:jc w:val="left"/>
            </w:pPr>
            <w:r>
              <w:rPr>
                <w:rFonts w:ascii="Calibri" w:hAnsi="Calibri" w:eastAsia="Microsoft YaHei"/>
                <w:sz w:val="18"/>
              </w:rPr>
              <w:t>阻断故障区拖垮健康区</w:t>
            </w:r>
          </w:p>
        </w:tc>
        <w:tc>
          <w:tcPr>
            <w:tcW w:type="dxa" w:w="4080"/>
            <w:vAlign w:val="center"/>
          </w:tcPr>
          <w:p>
            <w:pPr>
              <w:pStyle w:val="AurekTable"/>
              <w:jc w:val="left"/>
            </w:pPr>
            <w:r>
              <w:rPr>
                <w:rFonts w:ascii="Calibri" w:hAnsi="Calibri" w:eastAsia="Microsoft YaHei"/>
                <w:sz w:val="18"/>
              </w:rPr>
              <w:t>任一区开路导致任一健康区压力下界＜45 kPa</w:t>
            </w:r>
          </w:p>
        </w:tc>
      </w:tr>
      <w:tr>
        <w:trPr>
          <w:cantSplit w:val="true"/>
        </w:trPr>
        <w:tc>
          <w:tcPr>
            <w:tcW w:type="dxa" w:w="1800"/>
            <w:shd w:fill="F2F4F7"/>
            <w:vAlign w:val="center"/>
          </w:tcPr>
          <w:p>
            <w:pPr>
              <w:pStyle w:val="AurekTable"/>
              <w:jc w:val="left"/>
            </w:pPr>
            <w:r>
              <w:rPr>
                <w:rFonts w:ascii="Calibri" w:hAnsi="Calibri" w:eastAsia="Microsoft YaHei"/>
                <w:sz w:val="18"/>
              </w:rPr>
              <w:t>真空源流量储备</w:t>
            </w:r>
          </w:p>
        </w:tc>
        <w:tc>
          <w:tcPr>
            <w:tcW w:type="dxa" w:w="3480"/>
            <w:vAlign w:val="center"/>
          </w:tcPr>
          <w:p>
            <w:pPr>
              <w:pStyle w:val="AurekTable"/>
              <w:jc w:val="left"/>
            </w:pPr>
            <w:r>
              <w:rPr>
                <w:rFonts w:ascii="Calibri" w:hAnsi="Calibri" w:eastAsia="Microsoft YaHei"/>
                <w:sz w:val="18"/>
              </w:rPr>
              <w:t>在泄漏上界下维持阈值</w:t>
            </w:r>
          </w:p>
        </w:tc>
        <w:tc>
          <w:tcPr>
            <w:tcW w:type="dxa" w:w="4080"/>
            <w:vAlign w:val="center"/>
          </w:tcPr>
          <w:p>
            <w:pPr>
              <w:pStyle w:val="AurekTable"/>
              <w:jc w:val="left"/>
            </w:pPr>
            <w:r>
              <w:rPr>
                <w:rFonts w:ascii="Calibri" w:hAnsi="Calibri" w:eastAsia="Microsoft YaHei"/>
                <w:sz w:val="18"/>
              </w:rPr>
              <w:t>Q_S,LB/Q_L,UB＜1.50</w:t>
            </w:r>
          </w:p>
        </w:tc>
      </w:tr>
      <w:tr>
        <w:trPr>
          <w:cantSplit w:val="true"/>
        </w:trPr>
        <w:tc>
          <w:tcPr>
            <w:tcW w:type="dxa" w:w="1800"/>
            <w:shd w:fill="F2F4F7"/>
            <w:vAlign w:val="center"/>
          </w:tcPr>
          <w:p>
            <w:pPr>
              <w:pStyle w:val="AurekTable"/>
              <w:jc w:val="left"/>
            </w:pPr>
            <w:r>
              <w:rPr>
                <w:rFonts w:ascii="Calibri" w:hAnsi="Calibri" w:eastAsia="Microsoft YaHei"/>
                <w:sz w:val="18"/>
              </w:rPr>
              <w:t>压力许可逻辑</w:t>
            </w:r>
          </w:p>
        </w:tc>
        <w:tc>
          <w:tcPr>
            <w:tcW w:type="dxa" w:w="3480"/>
            <w:vAlign w:val="center"/>
          </w:tcPr>
          <w:p>
            <w:pPr>
              <w:pStyle w:val="AurekTable"/>
              <w:jc w:val="left"/>
            </w:pPr>
            <w:r>
              <w:rPr>
                <w:rFonts w:ascii="Calibri" w:hAnsi="Calibri" w:eastAsia="Microsoft YaHei"/>
                <w:sz w:val="18"/>
              </w:rPr>
              <w:t>各区压力下界≥50 kPa、连续200 ms且峰峰值≤2 kPa</w:t>
            </w:r>
          </w:p>
        </w:tc>
        <w:tc>
          <w:tcPr>
            <w:tcW w:type="dxa" w:w="4080"/>
            <w:vAlign w:val="center"/>
          </w:tcPr>
          <w:p>
            <w:pPr>
              <w:pStyle w:val="AurekTable"/>
              <w:jc w:val="left"/>
            </w:pPr>
            <w:r>
              <w:rPr>
                <w:rFonts w:ascii="Calibri" w:hAnsi="Calibri" w:eastAsia="Microsoft YaHei"/>
                <w:sz w:val="18"/>
              </w:rPr>
              <w:t>只用定时器或单总信号</w:t>
            </w:r>
          </w:p>
        </w:tc>
      </w:tr>
      <w:tr>
        <w:trPr>
          <w:cantSplit w:val="true"/>
        </w:trPr>
        <w:tc>
          <w:tcPr>
            <w:tcW w:type="dxa" w:w="1800"/>
            <w:shd w:fill="F2F4F7"/>
            <w:vAlign w:val="center"/>
          </w:tcPr>
          <w:p>
            <w:pPr>
              <w:pStyle w:val="AurekTable"/>
              <w:jc w:val="left"/>
            </w:pPr>
            <w:r>
              <w:rPr>
                <w:rFonts w:ascii="Calibri" w:hAnsi="Calibri" w:eastAsia="Microsoft YaHei"/>
                <w:sz w:val="18"/>
              </w:rPr>
              <w:t>备用供能</w:t>
            </w:r>
          </w:p>
        </w:tc>
        <w:tc>
          <w:tcPr>
            <w:tcW w:type="dxa" w:w="3480"/>
            <w:vAlign w:val="center"/>
          </w:tcPr>
          <w:p>
            <w:pPr>
              <w:pStyle w:val="AurekTable"/>
              <w:jc w:val="left"/>
            </w:pPr>
            <w:r>
              <w:rPr>
                <w:rFonts w:ascii="Calibri" w:hAnsi="Calibri" w:eastAsia="Microsoft YaHei"/>
                <w:sz w:val="18"/>
              </w:rPr>
              <w:t>t_1−t_0≤0.10 s并维持至t_3</w:t>
            </w:r>
          </w:p>
        </w:tc>
        <w:tc>
          <w:tcPr>
            <w:tcW w:type="dxa" w:w="4080"/>
            <w:vAlign w:val="center"/>
          </w:tcPr>
          <w:p>
            <w:pPr>
              <w:pStyle w:val="AurekTable"/>
              <w:jc w:val="left"/>
            </w:pPr>
            <w:r>
              <w:rPr>
                <w:rFonts w:ascii="Calibri" w:hAnsi="Calibri" w:eastAsia="Microsoft YaHei"/>
                <w:sz w:val="18"/>
              </w:rPr>
              <w:t>绝热保持时间＜8.50 s或0.40 MPa下Q_S,LB/Q_L,UB＜1.50</w:t>
            </w:r>
          </w:p>
        </w:tc>
      </w:tr>
      <w:tr>
        <w:trPr>
          <w:cantSplit w:val="true"/>
        </w:trPr>
        <w:tc>
          <w:tcPr>
            <w:tcW w:type="dxa" w:w="1800"/>
            <w:shd w:fill="F2F4F7"/>
            <w:vAlign w:val="center"/>
          </w:tcPr>
          <w:p>
            <w:pPr>
              <w:pStyle w:val="AurekTable"/>
              <w:jc w:val="left"/>
            </w:pPr>
            <w:r>
              <w:rPr>
                <w:rFonts w:ascii="Calibri" w:hAnsi="Calibri" w:eastAsia="Microsoft YaHei"/>
                <w:sz w:val="18"/>
              </w:rPr>
              <w:t>受控排气</w:t>
            </w:r>
          </w:p>
        </w:tc>
        <w:tc>
          <w:tcPr>
            <w:tcW w:type="dxa" w:w="3480"/>
            <w:vAlign w:val="center"/>
          </w:tcPr>
          <w:p>
            <w:pPr>
              <w:pStyle w:val="AurekTable"/>
              <w:jc w:val="left"/>
            </w:pPr>
            <w:r>
              <w:rPr>
                <w:rFonts w:ascii="Calibri" w:hAnsi="Calibri" w:eastAsia="Microsoft YaHei"/>
                <w:sz w:val="18"/>
              </w:rPr>
              <w:t>双支撑确认500 ms、速度≤0.01 m/s、位置误差≤5 mm后释放</w:t>
            </w:r>
          </w:p>
        </w:tc>
        <w:tc>
          <w:tcPr>
            <w:tcW w:type="dxa" w:w="4080"/>
            <w:vAlign w:val="center"/>
          </w:tcPr>
          <w:p>
            <w:pPr>
              <w:pStyle w:val="AurekTable"/>
              <w:jc w:val="left"/>
            </w:pPr>
            <w:r>
              <w:rPr>
                <w:rFonts w:ascii="Calibri" w:hAnsi="Calibri" w:eastAsia="Microsoft YaHei"/>
                <w:sz w:val="18"/>
              </w:rPr>
              <w:t>任一条件不满足仍可排气</w:t>
            </w:r>
          </w:p>
        </w:tc>
      </w:tr>
    </w:tbl>
    <w:p>
      <w:pPr>
        <w:spacing w:after="40"/>
      </w:pPr>
    </w:p>
    <w:p>
      <w:pPr/>
      <w:r>
        <w:rPr>
          <w:rFonts w:ascii="Calibri" w:hAnsi="Calibri" w:eastAsia="Microsoft YaHei"/>
          <w:sz w:val="22"/>
        </w:rPr>
        <w:t>SMC 的真空节能阀资料说明，未覆盖吸盘的漏气可被限制，从而维持其余回路真空[5]；Piab 的泡棉夹具资料也把止回阀技术用于不同孔隙率材料[11]。这些元件不是自动安全保证：阀卡滞、污染、反向泄漏和响应时间必须进入故障注入。</w:t>
      </w:r>
    </w:p>
    <w:p>
      <w:pPr/>
      <w:r>
        <w:rPr>
          <w:rFonts w:ascii="Calibri" w:hAnsi="Calibri" w:eastAsia="Microsoft YaHei"/>
          <w:sz w:val="22"/>
        </w:rPr>
        <w:t>泄漏补偿按优先级执行：扩大有效吸附面积、改善落点与密封、缩短和增大主管、分散真空源、再增加源流量。禁止以无限增大抽气量替代分区隔离，因为局部大开口仍会消耗全部流量并掩盖正在脱离的吸盘。</w:t>
      </w:r>
    </w:p>
    <w:p>
      <w:pPr>
        <w:pStyle w:val="Heading1"/>
      </w:pPr>
      <w:r>
        <w:rPr>
          <w:rFonts w:ascii="Calibri" w:hAnsi="Calibri" w:eastAsia="Microsoft YaHei"/>
        </w:rPr>
        <w:t>06 基准工况计算与唯一判定</w:t>
      </w:r>
    </w:p>
    <w:p>
      <w:pPr/>
      <w:r>
        <w:rPr>
          <w:rFonts w:ascii="Calibri" w:hAnsi="Calibri" w:eastAsia="Microsoft YaHei"/>
          <w:sz w:val="22"/>
        </w:rPr>
        <w:t>本章固定计算工况如下：搬运对象始终保持吸附面水平，θ＝0；计算平面为x-z，锁定a_y,UB＝0、e_y,UB＝0、M_x＝0、M_z＝0。以吸盘阵列几何中心为临时计算原点，吸盘投影为x＝±0.25 m、y＝0，重心坐标为(0.060,0,−0.160) m；进入第03章向量方程时，r_i按“吸盘坐标减重心坐标”换算。y向加速度、偏心或力矩不为零时，输入全部三维坐标并执行向量平衡。</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4680"/>
        <w:gridCol w:w="4680"/>
      </w:tblGrid>
      <w:tr>
        <w:trPr>
          <w:cantSplit w:val="true"/>
          <w:tblHeader w:val="true"/>
        </w:trPr>
        <w:tc>
          <w:tcPr>
            <w:tcW w:type="dxa" w:w="4680"/>
            <w:shd w:fill="2E74B5"/>
            <w:vAlign w:val="center"/>
          </w:tcPr>
          <w:p>
            <w:pPr>
              <w:pStyle w:val="AurekTable"/>
              <w:keepNext/>
              <w:keepLines/>
              <w:jc w:val="center"/>
            </w:pPr>
            <w:r>
              <w:rPr>
                <w:rFonts w:ascii="Calibri" w:hAnsi="Calibri" w:eastAsia="Microsoft YaHei"/>
                <w:b/>
                <w:color w:val="FFFFFF"/>
                <w:sz w:val="18"/>
              </w:rPr>
              <w:t>输入量</w:t>
            </w:r>
          </w:p>
        </w:tc>
        <w:tc>
          <w:tcPr>
            <w:tcW w:type="dxa" w:w="4680"/>
            <w:shd w:fill="2E74B5"/>
            <w:vAlign w:val="center"/>
          </w:tcPr>
          <w:p>
            <w:pPr>
              <w:pStyle w:val="AurekTable"/>
              <w:keepNext/>
              <w:keepLines/>
              <w:jc w:val="center"/>
            </w:pPr>
            <w:r>
              <w:rPr>
                <w:rFonts w:ascii="Calibri" w:hAnsi="Calibri" w:eastAsia="Microsoft YaHei"/>
                <w:b/>
                <w:color w:val="FFFFFF"/>
                <w:sz w:val="18"/>
              </w:rPr>
              <w:t>已含不确定度的锁定数值</w:t>
            </w:r>
          </w:p>
        </w:tc>
      </w:tr>
      <w:tr>
        <w:trPr>
          <w:cantSplit w:val="true"/>
        </w:trPr>
        <w:tc>
          <w:tcPr>
            <w:tcW w:type="dxa" w:w="4680"/>
            <w:shd w:fill="F2F4F7"/>
            <w:vAlign w:val="center"/>
          </w:tcPr>
          <w:p>
            <w:pPr>
              <w:pStyle w:val="AurekTable"/>
              <w:jc w:val="left"/>
            </w:pPr>
            <w:r>
              <w:rPr>
                <w:rFonts w:ascii="Calibri" w:hAnsi="Calibri" w:eastAsia="Microsoft YaHei"/>
                <w:sz w:val="18"/>
              </w:rPr>
              <w:t>纸箱质量上界 m_UB</w:t>
            </w:r>
          </w:p>
        </w:tc>
        <w:tc>
          <w:tcPr>
            <w:tcW w:type="dxa" w:w="4680"/>
            <w:vAlign w:val="center"/>
          </w:tcPr>
          <w:p>
            <w:pPr>
              <w:pStyle w:val="AurekTable"/>
              <w:jc w:val="left"/>
            </w:pPr>
            <w:r>
              <w:rPr>
                <w:rFonts w:ascii="Calibri" w:hAnsi="Calibri" w:eastAsia="Microsoft YaHei"/>
                <w:sz w:val="18"/>
              </w:rPr>
              <w:t>18.0 kg</w:t>
            </w:r>
          </w:p>
        </w:tc>
      </w:tr>
      <w:tr>
        <w:trPr>
          <w:cantSplit w:val="true"/>
        </w:trPr>
        <w:tc>
          <w:tcPr>
            <w:tcW w:type="dxa" w:w="4680"/>
            <w:shd w:fill="F2F4F7"/>
            <w:vAlign w:val="center"/>
          </w:tcPr>
          <w:p>
            <w:pPr>
              <w:pStyle w:val="AurekTable"/>
              <w:jc w:val="left"/>
            </w:pPr>
            <w:r>
              <w:rPr>
                <w:rFonts w:ascii="Calibri" w:hAnsi="Calibri" w:eastAsia="Microsoft YaHei"/>
                <w:sz w:val="18"/>
              </w:rPr>
              <w:t>吸盘数量与分区</w:t>
            </w:r>
          </w:p>
        </w:tc>
        <w:tc>
          <w:tcPr>
            <w:tcW w:type="dxa" w:w="4680"/>
            <w:vAlign w:val="center"/>
          </w:tcPr>
          <w:p>
            <w:pPr>
              <w:pStyle w:val="AurekTable"/>
              <w:jc w:val="left"/>
            </w:pPr>
            <w:r>
              <w:rPr>
                <w:rFonts w:ascii="Calibri" w:hAnsi="Calibri" w:eastAsia="Microsoft YaHei"/>
                <w:sz w:val="18"/>
              </w:rPr>
              <w:t>8 个，4 区，每区 2 个</w:t>
            </w:r>
          </w:p>
        </w:tc>
      </w:tr>
      <w:tr>
        <w:trPr>
          <w:cantSplit w:val="true"/>
        </w:trPr>
        <w:tc>
          <w:tcPr>
            <w:tcW w:type="dxa" w:w="4680"/>
            <w:shd w:fill="F2F4F7"/>
            <w:vAlign w:val="center"/>
          </w:tcPr>
          <w:p>
            <w:pPr>
              <w:pStyle w:val="AurekTable"/>
              <w:jc w:val="left"/>
            </w:pPr>
            <w:r>
              <w:rPr>
                <w:rFonts w:ascii="Calibri" w:hAnsi="Calibri" w:eastAsia="Microsoft YaHei"/>
                <w:sz w:val="18"/>
              </w:rPr>
              <w:t>单杯有效面积下界 A_eff,LB</w:t>
            </w:r>
          </w:p>
        </w:tc>
        <w:tc>
          <w:tcPr>
            <w:tcW w:type="dxa" w:w="4680"/>
            <w:vAlign w:val="center"/>
          </w:tcPr>
          <w:p>
            <w:pPr>
              <w:pStyle w:val="AurekTable"/>
              <w:jc w:val="left"/>
            </w:pPr>
            <w:r>
              <w:rPr>
                <w:rFonts w:ascii="Calibri" w:hAnsi="Calibri" w:eastAsia="Microsoft YaHei"/>
                <w:sz w:val="18"/>
              </w:rPr>
              <w:t>0.0060 m²</w:t>
            </w:r>
          </w:p>
        </w:tc>
      </w:tr>
      <w:tr>
        <w:trPr>
          <w:cantSplit w:val="true"/>
        </w:trPr>
        <w:tc>
          <w:tcPr>
            <w:tcW w:type="dxa" w:w="4680"/>
            <w:shd w:fill="F2F4F7"/>
            <w:vAlign w:val="center"/>
          </w:tcPr>
          <w:p>
            <w:pPr>
              <w:pStyle w:val="AurekTable"/>
              <w:jc w:val="left"/>
            </w:pPr>
            <w:r>
              <w:rPr>
                <w:rFonts w:ascii="Calibri" w:hAnsi="Calibri" w:eastAsia="Microsoft YaHei"/>
                <w:sz w:val="18"/>
              </w:rPr>
              <w:t>吸盘二维投影坐标</w:t>
            </w:r>
          </w:p>
        </w:tc>
        <w:tc>
          <w:tcPr>
            <w:tcW w:type="dxa" w:w="4680"/>
            <w:vAlign w:val="center"/>
          </w:tcPr>
          <w:p>
            <w:pPr>
              <w:pStyle w:val="AurekTable"/>
              <w:jc w:val="left"/>
            </w:pPr>
            <w:r>
              <w:rPr>
                <w:rFonts w:ascii="Calibri" w:hAnsi="Calibri" w:eastAsia="Microsoft YaHei"/>
                <w:sz w:val="18"/>
              </w:rPr>
              <w:t>相对阵列中心x＝±0.25 m，y＝0；每区正负侧各一杯</w:t>
            </w:r>
          </w:p>
        </w:tc>
      </w:tr>
      <w:tr>
        <w:trPr>
          <w:cantSplit w:val="true"/>
        </w:trPr>
        <w:tc>
          <w:tcPr>
            <w:tcW w:type="dxa" w:w="4680"/>
            <w:shd w:fill="F2F4F7"/>
            <w:vAlign w:val="center"/>
          </w:tcPr>
          <w:p>
            <w:pPr>
              <w:pStyle w:val="AurekTable"/>
              <w:jc w:val="left"/>
            </w:pPr>
            <w:r>
              <w:rPr>
                <w:rFonts w:ascii="Calibri" w:hAnsi="Calibri" w:eastAsia="Microsoft YaHei"/>
                <w:sz w:val="18"/>
              </w:rPr>
              <w:t>故障保持压差下界 Δp_min,LB</w:t>
            </w:r>
          </w:p>
        </w:tc>
        <w:tc>
          <w:tcPr>
            <w:tcW w:type="dxa" w:w="4680"/>
            <w:vAlign w:val="center"/>
          </w:tcPr>
          <w:p>
            <w:pPr>
              <w:pStyle w:val="AurekTable"/>
              <w:jc w:val="left"/>
            </w:pPr>
            <w:r>
              <w:rPr>
                <w:rFonts w:ascii="Calibri" w:hAnsi="Calibri" w:eastAsia="Microsoft YaHei"/>
                <w:sz w:val="18"/>
              </w:rPr>
              <w:t>45 kPa</w:t>
            </w:r>
          </w:p>
        </w:tc>
      </w:tr>
      <w:tr>
        <w:trPr>
          <w:cantSplit w:val="true"/>
        </w:trPr>
        <w:tc>
          <w:tcPr>
            <w:tcW w:type="dxa" w:w="4680"/>
            <w:shd w:fill="F2F4F7"/>
            <w:vAlign w:val="center"/>
          </w:tcPr>
          <w:p>
            <w:pPr>
              <w:pStyle w:val="AurekTable"/>
              <w:jc w:val="left"/>
            </w:pPr>
            <w:r>
              <w:rPr>
                <w:rFonts w:ascii="Calibri" w:hAnsi="Calibri" w:eastAsia="Microsoft YaHei"/>
                <w:sz w:val="18"/>
              </w:rPr>
              <w:t>正常提升许可压差下界 Δp_pick,LB</w:t>
            </w:r>
          </w:p>
        </w:tc>
        <w:tc>
          <w:tcPr>
            <w:tcW w:type="dxa" w:w="4680"/>
            <w:vAlign w:val="center"/>
          </w:tcPr>
          <w:p>
            <w:pPr>
              <w:pStyle w:val="AurekTable"/>
              <w:jc w:val="left"/>
            </w:pPr>
            <w:r>
              <w:rPr>
                <w:rFonts w:ascii="Calibri" w:hAnsi="Calibri" w:eastAsia="Microsoft YaHei"/>
                <w:sz w:val="18"/>
              </w:rPr>
              <w:t>50 kPa</w:t>
            </w:r>
          </w:p>
        </w:tc>
      </w:tr>
      <w:tr>
        <w:trPr>
          <w:cantSplit w:val="true"/>
        </w:trPr>
        <w:tc>
          <w:tcPr>
            <w:tcW w:type="dxa" w:w="4680"/>
            <w:shd w:fill="F2F4F7"/>
            <w:vAlign w:val="center"/>
          </w:tcPr>
          <w:p>
            <w:pPr>
              <w:pStyle w:val="AurekTable"/>
              <w:jc w:val="left"/>
            </w:pPr>
            <w:r>
              <w:rPr>
                <w:rFonts w:ascii="Calibri" w:hAnsi="Calibri" w:eastAsia="Microsoft YaHei"/>
                <w:sz w:val="18"/>
              </w:rPr>
              <w:t>摩擦系数下界 μ_LB</w:t>
            </w:r>
          </w:p>
        </w:tc>
        <w:tc>
          <w:tcPr>
            <w:tcW w:type="dxa" w:w="4680"/>
            <w:vAlign w:val="center"/>
          </w:tcPr>
          <w:p>
            <w:pPr>
              <w:pStyle w:val="AurekTable"/>
              <w:jc w:val="left"/>
            </w:pPr>
            <w:r>
              <w:rPr>
                <w:rFonts w:ascii="Calibri" w:hAnsi="Calibri" w:eastAsia="Microsoft YaHei"/>
                <w:sz w:val="18"/>
              </w:rPr>
              <w:t>0.35</w:t>
            </w:r>
          </w:p>
        </w:tc>
      </w:tr>
      <w:tr>
        <w:trPr>
          <w:cantSplit w:val="true"/>
        </w:trPr>
        <w:tc>
          <w:tcPr>
            <w:tcW w:type="dxa" w:w="4680"/>
            <w:shd w:fill="F2F4F7"/>
            <w:vAlign w:val="center"/>
          </w:tcPr>
          <w:p>
            <w:pPr>
              <w:pStyle w:val="AurekTable"/>
              <w:jc w:val="left"/>
            </w:pPr>
            <w:r>
              <w:rPr>
                <w:rFonts w:ascii="Calibri" w:hAnsi="Calibri" w:eastAsia="Microsoft YaHei"/>
                <w:sz w:val="18"/>
              </w:rPr>
              <w:t>正常及故障向上加速度上界 a_z,UB</w:t>
            </w:r>
          </w:p>
        </w:tc>
        <w:tc>
          <w:tcPr>
            <w:tcW w:type="dxa" w:w="4680"/>
            <w:vAlign w:val="center"/>
          </w:tcPr>
          <w:p>
            <w:pPr>
              <w:pStyle w:val="AurekTable"/>
              <w:jc w:val="left"/>
            </w:pPr>
            <w:r>
              <w:rPr>
                <w:rFonts w:ascii="Calibri" w:hAnsi="Calibri" w:eastAsia="Microsoft YaHei"/>
                <w:sz w:val="18"/>
              </w:rPr>
              <w:t>1.50 m/s²</w:t>
            </w:r>
          </w:p>
        </w:tc>
      </w:tr>
      <w:tr>
        <w:trPr>
          <w:cantSplit w:val="true"/>
        </w:trPr>
        <w:tc>
          <w:tcPr>
            <w:tcW w:type="dxa" w:w="4680"/>
            <w:shd w:fill="F2F4F7"/>
            <w:vAlign w:val="center"/>
          </w:tcPr>
          <w:p>
            <w:pPr>
              <w:pStyle w:val="AurekTable"/>
              <w:jc w:val="left"/>
            </w:pPr>
            <w:r>
              <w:rPr>
                <w:rFonts w:ascii="Calibri" w:hAnsi="Calibri" w:eastAsia="Microsoft YaHei"/>
                <w:sz w:val="18"/>
              </w:rPr>
              <w:t>正常及故障水平加速度上界 a_x,UB</w:t>
            </w:r>
          </w:p>
        </w:tc>
        <w:tc>
          <w:tcPr>
            <w:tcW w:type="dxa" w:w="4680"/>
            <w:vAlign w:val="center"/>
          </w:tcPr>
          <w:p>
            <w:pPr>
              <w:pStyle w:val="AurekTable"/>
              <w:jc w:val="left"/>
            </w:pPr>
            <w:r>
              <w:rPr>
                <w:rFonts w:ascii="Calibri" w:hAnsi="Calibri" w:eastAsia="Microsoft YaHei"/>
                <w:sz w:val="18"/>
              </w:rPr>
              <w:t>2.00 m/s²</w:t>
            </w:r>
          </w:p>
        </w:tc>
      </w:tr>
      <w:tr>
        <w:trPr>
          <w:cantSplit w:val="true"/>
        </w:trPr>
        <w:tc>
          <w:tcPr>
            <w:tcW w:type="dxa" w:w="4680"/>
            <w:shd w:fill="F2F4F7"/>
            <w:vAlign w:val="center"/>
          </w:tcPr>
          <w:p>
            <w:pPr>
              <w:pStyle w:val="AurekTable"/>
              <w:jc w:val="left"/>
            </w:pPr>
            <w:r>
              <w:rPr>
                <w:rFonts w:ascii="Calibri" w:hAnsi="Calibri" w:eastAsia="Microsoft YaHei"/>
                <w:sz w:val="18"/>
              </w:rPr>
              <w:t>y向加速度与偏心</w:t>
            </w:r>
          </w:p>
        </w:tc>
        <w:tc>
          <w:tcPr>
            <w:tcW w:type="dxa" w:w="4680"/>
            <w:vAlign w:val="center"/>
          </w:tcPr>
          <w:p>
            <w:pPr>
              <w:pStyle w:val="AurekTable"/>
              <w:jc w:val="left"/>
            </w:pPr>
            <w:r>
              <w:rPr>
                <w:rFonts w:ascii="Calibri" w:hAnsi="Calibri" w:eastAsia="Microsoft YaHei"/>
                <w:sz w:val="18"/>
              </w:rPr>
              <w:t>a_y,UB＝0；e_y,UB＝0</w:t>
            </w:r>
          </w:p>
        </w:tc>
      </w:tr>
      <w:tr>
        <w:trPr>
          <w:cantSplit w:val="true"/>
        </w:trPr>
        <w:tc>
          <w:tcPr>
            <w:tcW w:type="dxa" w:w="4680"/>
            <w:shd w:fill="F2F4F7"/>
            <w:vAlign w:val="center"/>
          </w:tcPr>
          <w:p>
            <w:pPr>
              <w:pStyle w:val="AurekTable"/>
              <w:jc w:val="left"/>
            </w:pPr>
            <w:r>
              <w:rPr>
                <w:rFonts w:ascii="Calibri" w:hAnsi="Calibri" w:eastAsia="Microsoft YaHei"/>
                <w:sz w:val="18"/>
              </w:rPr>
              <w:t>重心水平偏移上界 e_x,UB</w:t>
            </w:r>
          </w:p>
        </w:tc>
        <w:tc>
          <w:tcPr>
            <w:tcW w:type="dxa" w:w="4680"/>
            <w:vAlign w:val="center"/>
          </w:tcPr>
          <w:p>
            <w:pPr>
              <w:pStyle w:val="AurekTable"/>
              <w:jc w:val="left"/>
            </w:pPr>
            <w:r>
              <w:rPr>
                <w:rFonts w:ascii="Calibri" w:hAnsi="Calibri" w:eastAsia="Microsoft YaHei"/>
                <w:sz w:val="18"/>
              </w:rPr>
              <w:t>0.060 m</w:t>
            </w:r>
          </w:p>
        </w:tc>
      </w:tr>
      <w:tr>
        <w:trPr>
          <w:cantSplit w:val="true"/>
        </w:trPr>
        <w:tc>
          <w:tcPr>
            <w:tcW w:type="dxa" w:w="4680"/>
            <w:shd w:fill="F2F4F7"/>
            <w:vAlign w:val="center"/>
          </w:tcPr>
          <w:p>
            <w:pPr>
              <w:pStyle w:val="AurekTable"/>
              <w:jc w:val="left"/>
            </w:pPr>
            <w:r>
              <w:rPr>
                <w:rFonts w:ascii="Calibri" w:hAnsi="Calibri" w:eastAsia="Microsoft YaHei"/>
                <w:sz w:val="18"/>
              </w:rPr>
              <w:t>重心距吸附面高度上界 h_UB</w:t>
            </w:r>
          </w:p>
        </w:tc>
        <w:tc>
          <w:tcPr>
            <w:tcW w:type="dxa" w:w="4680"/>
            <w:vAlign w:val="center"/>
          </w:tcPr>
          <w:p>
            <w:pPr>
              <w:pStyle w:val="AurekTable"/>
              <w:jc w:val="left"/>
            </w:pPr>
            <w:r>
              <w:rPr>
                <w:rFonts w:ascii="Calibri" w:hAnsi="Calibri" w:eastAsia="Microsoft YaHei"/>
                <w:sz w:val="18"/>
              </w:rPr>
              <w:t>0.160 m</w:t>
            </w:r>
          </w:p>
        </w:tc>
      </w:tr>
      <w:tr>
        <w:trPr>
          <w:cantSplit w:val="true"/>
        </w:trPr>
        <w:tc>
          <w:tcPr>
            <w:tcW w:type="dxa" w:w="4680"/>
            <w:shd w:fill="F2F4F7"/>
            <w:vAlign w:val="center"/>
          </w:tcPr>
          <w:p>
            <w:pPr>
              <w:pStyle w:val="AurekTable"/>
              <w:jc w:val="left"/>
            </w:pPr>
            <w:r>
              <w:rPr>
                <w:rFonts w:ascii="Calibri" w:hAnsi="Calibri" w:eastAsia="Microsoft YaHei"/>
                <w:sz w:val="18"/>
              </w:rPr>
              <w:t>外部滚转、偏航力矩</w:t>
            </w:r>
          </w:p>
        </w:tc>
        <w:tc>
          <w:tcPr>
            <w:tcW w:type="dxa" w:w="4680"/>
            <w:vAlign w:val="center"/>
          </w:tcPr>
          <w:p>
            <w:pPr>
              <w:pStyle w:val="AurekTable"/>
              <w:jc w:val="left"/>
            </w:pPr>
            <w:r>
              <w:rPr>
                <w:rFonts w:ascii="Calibri" w:hAnsi="Calibri" w:eastAsia="Microsoft YaHei"/>
                <w:sz w:val="18"/>
              </w:rPr>
              <w:t>M_x＝0；M_z＝0</w:t>
            </w:r>
          </w:p>
        </w:tc>
      </w:tr>
      <w:tr>
        <w:trPr>
          <w:cantSplit w:val="true"/>
        </w:trPr>
        <w:tc>
          <w:tcPr>
            <w:tcW w:type="dxa" w:w="4680"/>
            <w:shd w:fill="F2F4F7"/>
            <w:vAlign w:val="center"/>
          </w:tcPr>
          <w:p>
            <w:pPr>
              <w:pStyle w:val="AurekTable"/>
              <w:jc w:val="left"/>
            </w:pPr>
            <w:r>
              <w:rPr>
                <w:rFonts w:ascii="Calibri" w:hAnsi="Calibri" w:eastAsia="Microsoft YaHei"/>
                <w:sz w:val="18"/>
              </w:rPr>
              <w:t>指定支撑位</w:t>
            </w:r>
          </w:p>
        </w:tc>
        <w:tc>
          <w:tcPr>
            <w:tcW w:type="dxa" w:w="4680"/>
            <w:vAlign w:val="center"/>
          </w:tcPr>
          <w:p>
            <w:pPr>
              <w:pStyle w:val="AurekTable"/>
              <w:jc w:val="left"/>
            </w:pPr>
            <w:r>
              <w:rPr>
                <w:rFonts w:ascii="Calibri" w:hAnsi="Calibri" w:eastAsia="Microsoft YaHei"/>
                <w:sz w:val="18"/>
              </w:rPr>
              <w:t>S1＝(1.00, 0, −0.20) m；故障路径长度上界1.20 m</w:t>
            </w:r>
          </w:p>
        </w:tc>
      </w:tr>
      <w:tr>
        <w:trPr>
          <w:cantSplit w:val="true"/>
        </w:trPr>
        <w:tc>
          <w:tcPr>
            <w:tcW w:type="dxa" w:w="4680"/>
            <w:shd w:fill="F2F4F7"/>
            <w:vAlign w:val="center"/>
          </w:tcPr>
          <w:p>
            <w:pPr>
              <w:pStyle w:val="AurekTable"/>
              <w:jc w:val="left"/>
            </w:pPr>
            <w:r>
              <w:rPr>
                <w:rFonts w:ascii="Calibri" w:hAnsi="Calibri" w:eastAsia="Microsoft YaHei"/>
                <w:sz w:val="18"/>
              </w:rPr>
              <w:t>单区等效抽气容积上界 V_Z,UB</w:t>
            </w:r>
          </w:p>
        </w:tc>
        <w:tc>
          <w:tcPr>
            <w:tcW w:type="dxa" w:w="4680"/>
            <w:vAlign w:val="center"/>
          </w:tcPr>
          <w:p>
            <w:pPr>
              <w:pStyle w:val="AurekTable"/>
              <w:jc w:val="left"/>
            </w:pPr>
            <w:r>
              <w:rPr>
                <w:rFonts w:ascii="Calibri" w:hAnsi="Calibri" w:eastAsia="Microsoft YaHei"/>
                <w:sz w:val="18"/>
              </w:rPr>
              <w:t>1.80 L</w:t>
            </w:r>
          </w:p>
        </w:tc>
      </w:tr>
      <w:tr>
        <w:trPr>
          <w:cantSplit w:val="true"/>
        </w:trPr>
        <w:tc>
          <w:tcPr>
            <w:tcW w:type="dxa" w:w="4680"/>
            <w:shd w:fill="F2F4F7"/>
            <w:vAlign w:val="center"/>
          </w:tcPr>
          <w:p>
            <w:pPr>
              <w:pStyle w:val="AurekTable"/>
              <w:jc w:val="left"/>
            </w:pPr>
            <w:r>
              <w:rPr>
                <w:rFonts w:ascii="Calibri" w:hAnsi="Calibri" w:eastAsia="Microsoft YaHei"/>
                <w:sz w:val="18"/>
              </w:rPr>
              <w:t>单区泄漏最大示值及 U_QL</w:t>
            </w:r>
          </w:p>
        </w:tc>
        <w:tc>
          <w:tcPr>
            <w:tcW w:type="dxa" w:w="4680"/>
            <w:vAlign w:val="center"/>
          </w:tcPr>
          <w:p>
            <w:pPr>
              <w:pStyle w:val="AurekTable"/>
              <w:jc w:val="left"/>
            </w:pPr>
            <w:r>
              <w:rPr>
                <w:rFonts w:ascii="Calibri" w:hAnsi="Calibri" w:eastAsia="Microsoft YaHei"/>
                <w:sz w:val="18"/>
              </w:rPr>
              <w:t>55.0、1.1 NL/min；Q_L,UB＝56.1 NL/min</w:t>
            </w:r>
          </w:p>
        </w:tc>
      </w:tr>
      <w:tr>
        <w:trPr>
          <w:cantSplit w:val="true"/>
        </w:trPr>
        <w:tc>
          <w:tcPr>
            <w:tcW w:type="dxa" w:w="4680"/>
            <w:shd w:fill="F2F4F7"/>
            <w:vAlign w:val="center"/>
          </w:tcPr>
          <w:p>
            <w:pPr>
              <w:pStyle w:val="AurekTable"/>
              <w:jc w:val="left"/>
            </w:pPr>
            <w:r>
              <w:rPr>
                <w:rFonts w:ascii="Calibri" w:hAnsi="Calibri" w:eastAsia="Microsoft YaHei"/>
                <w:sz w:val="18"/>
              </w:rPr>
              <w:t>单区源流量最小示值及 U_QS</w:t>
            </w:r>
          </w:p>
        </w:tc>
        <w:tc>
          <w:tcPr>
            <w:tcW w:type="dxa" w:w="4680"/>
            <w:vAlign w:val="center"/>
          </w:tcPr>
          <w:p>
            <w:pPr>
              <w:pStyle w:val="AurekTable"/>
              <w:jc w:val="left"/>
            </w:pPr>
            <w:r>
              <w:rPr>
                <w:rFonts w:ascii="Calibri" w:hAnsi="Calibri" w:eastAsia="Microsoft YaHei"/>
                <w:sz w:val="18"/>
              </w:rPr>
              <w:t>90.0、1.8 NL/min；Q_S,LB＝88.2 NL/min</w:t>
            </w:r>
          </w:p>
        </w:tc>
      </w:tr>
      <w:tr>
        <w:trPr>
          <w:cantSplit w:val="true"/>
        </w:trPr>
        <w:tc>
          <w:tcPr>
            <w:tcW w:type="dxa" w:w="4680"/>
            <w:shd w:fill="F2F4F7"/>
            <w:vAlign w:val="center"/>
          </w:tcPr>
          <w:p>
            <w:pPr>
              <w:pStyle w:val="AurekTable"/>
              <w:jc w:val="left"/>
            </w:pPr>
            <w:r>
              <w:rPr>
                <w:rFonts w:ascii="Calibri" w:hAnsi="Calibri" w:eastAsia="Microsoft YaHei"/>
                <w:sz w:val="18"/>
              </w:rPr>
              <w:t>源流量适用条件</w:t>
            </w:r>
          </w:p>
        </w:tc>
        <w:tc>
          <w:tcPr>
            <w:tcW w:type="dxa" w:w="4680"/>
            <w:vAlign w:val="center"/>
          </w:tcPr>
          <w:p>
            <w:pPr>
              <w:pStyle w:val="AurekTable"/>
              <w:jc w:val="left"/>
            </w:pPr>
            <w:r>
              <w:rPr>
                <w:rFonts w:ascii="Calibri" w:hAnsi="Calibri" w:eastAsia="Microsoft YaHei"/>
                <w:sz w:val="18"/>
              </w:rPr>
              <w:t>0～50 kPa全区间，供气表压0.40 MPa，过滤器寿命边界</w:t>
            </w:r>
          </w:p>
        </w:tc>
      </w:tr>
      <w:tr>
        <w:trPr>
          <w:cantSplit w:val="true"/>
        </w:trPr>
        <w:tc>
          <w:tcPr>
            <w:tcW w:type="dxa" w:w="4680"/>
            <w:shd w:fill="F2F4F7"/>
            <w:vAlign w:val="center"/>
          </w:tcPr>
          <w:p>
            <w:pPr>
              <w:pStyle w:val="AurekTable"/>
              <w:jc w:val="left"/>
            </w:pPr>
            <w:r>
              <w:rPr>
                <w:rFonts w:ascii="Calibri" w:hAnsi="Calibri" w:eastAsia="Microsoft YaHei"/>
                <w:sz w:val="18"/>
              </w:rPr>
              <w:t>稳定、辅助时间</w:t>
            </w:r>
          </w:p>
        </w:tc>
        <w:tc>
          <w:tcPr>
            <w:tcW w:type="dxa" w:w="4680"/>
            <w:vAlign w:val="center"/>
          </w:tcPr>
          <w:p>
            <w:pPr>
              <w:pStyle w:val="AurekTable"/>
              <w:jc w:val="left"/>
            </w:pPr>
            <w:r>
              <w:rPr>
                <w:rFonts w:ascii="Calibri" w:hAnsi="Calibri" w:eastAsia="Microsoft YaHei"/>
                <w:sz w:val="18"/>
              </w:rPr>
              <w:t>t_stable＝0.20 s；t_aux＝0.10 s</w:t>
            </w:r>
          </w:p>
        </w:tc>
      </w:tr>
      <w:tr>
        <w:trPr>
          <w:cantSplit w:val="true"/>
        </w:trPr>
        <w:tc>
          <w:tcPr>
            <w:tcW w:type="dxa" w:w="4680"/>
            <w:shd w:fill="F2F4F7"/>
            <w:vAlign w:val="center"/>
          </w:tcPr>
          <w:p>
            <w:pPr>
              <w:pStyle w:val="AurekTable"/>
              <w:jc w:val="left"/>
            </w:pPr>
            <w:r>
              <w:rPr>
                <w:rFonts w:ascii="Calibri" w:hAnsi="Calibri" w:eastAsia="Microsoft YaHei"/>
                <w:sz w:val="18"/>
              </w:rPr>
              <w:t>储气罐、供气压力与初温上界</w:t>
            </w:r>
          </w:p>
        </w:tc>
        <w:tc>
          <w:tcPr>
            <w:tcW w:type="dxa" w:w="4680"/>
            <w:vAlign w:val="center"/>
          </w:tcPr>
          <w:p>
            <w:pPr>
              <w:pStyle w:val="AurekTable"/>
              <w:jc w:val="left"/>
            </w:pPr>
            <w:r>
              <w:rPr>
                <w:rFonts w:ascii="Calibri" w:hAnsi="Calibri" w:eastAsia="Microsoft YaHei"/>
                <w:sz w:val="18"/>
              </w:rPr>
              <w:t>有效容积下界25.0 L；起始表压下界0.70 MPa、最低可用表压上界0.40 MPa；T_1,UB＝298.15 K</w:t>
            </w:r>
          </w:p>
        </w:tc>
      </w:tr>
      <w:tr>
        <w:trPr>
          <w:cantSplit w:val="true"/>
        </w:trPr>
        <w:tc>
          <w:tcPr>
            <w:tcW w:type="dxa" w:w="4680"/>
            <w:shd w:fill="F2F4F7"/>
            <w:vAlign w:val="center"/>
          </w:tcPr>
          <w:p>
            <w:pPr>
              <w:pStyle w:val="AurekTable"/>
              <w:jc w:val="left"/>
            </w:pPr>
            <w:r>
              <w:rPr>
                <w:rFonts w:ascii="Calibri" w:hAnsi="Calibri" w:eastAsia="Microsoft YaHei"/>
                <w:sz w:val="18"/>
              </w:rPr>
              <w:t>四区耗气最大示值及 U_Qair</w:t>
            </w:r>
          </w:p>
        </w:tc>
        <w:tc>
          <w:tcPr>
            <w:tcW w:type="dxa" w:w="4680"/>
            <w:vAlign w:val="center"/>
          </w:tcPr>
          <w:p>
            <w:pPr>
              <w:pStyle w:val="AurekTable"/>
              <w:jc w:val="left"/>
            </w:pPr>
            <w:r>
              <w:rPr>
                <w:rFonts w:ascii="Calibri" w:hAnsi="Calibri" w:eastAsia="Microsoft YaHei"/>
                <w:sz w:val="18"/>
              </w:rPr>
              <w:t>300、6 NL/min；Q_air,UB＝306 NL/min</w:t>
            </w:r>
          </w:p>
        </w:tc>
      </w:tr>
    </w:tbl>
    <w:p>
      <w:pPr>
        <w:spacing w:after="40"/>
      </w:pPr>
    </w:p>
    <w:p>
      <w:pPr>
        <w:pStyle w:val="Heading2"/>
      </w:pPr>
      <w:r>
        <w:rPr>
          <w:rFonts w:ascii="Calibri" w:hAnsi="Calibri" w:eastAsia="Microsoft YaHei"/>
        </w:rPr>
        <w:t>06.1 正常状态承载</w:t>
      </w:r>
    </w:p>
    <w:p>
      <w:pPr/>
      <w:r>
        <w:rPr>
          <w:rFonts w:ascii="Calibri" w:hAnsi="Calibri" w:eastAsia="Microsoft YaHei"/>
          <w:sz w:val="22"/>
        </w:rPr>
        <w:t>总面积下界为 8×0.0060＝0.0480 m²，单杯容量 C_i＝45000×0.0060＝270 N：</w:t>
      </w:r>
    </w:p>
    <w:p>
      <w:pPr>
        <w:pStyle w:val="AurekEquation"/>
        <w:spacing w:before="80" w:after="160"/>
        <w:jc w:val="center"/>
        <w:shd w:fill="EEF3F7"/>
      </w:pPr>
      <w:r>
        <w:rPr>
          <w:rFonts w:ascii="Consolas" w:hAnsi="Consolas" w:eastAsia="Microsoft YaHei"/>
          <w:color w:val="203748"/>
          <w:sz w:val="19"/>
        </w:rPr>
        <w:t>F_N,cap,LB = 45000 × 0.0480 = 2160 N</w:t>
        <w:br/>
        <w:t>F_N,d = 2.5 × 18 × (9.81 + 1.50) = 508.95 N</w:t>
        <w:br/>
        <w:t>法向容量比 = 2160 / 508.95 = 4.24 ＞ 1.00，通过</w:t>
        <w:br/>
        <w:br/>
        <w:t>F_T,cap = 0.35 × 2160 = 756 N</w:t>
        <w:br/>
        <w:t>F_T,d = 2.5 × 18 × 2.00 = 90 N</w:t>
        <w:br/>
        <w:t>切向容量比 = 756 / 90 = 8.40 ＞ 1.00，通过</w:t>
      </w:r>
    </w:p>
    <w:p>
      <w:pPr/>
      <w:r>
        <w:rPr>
          <w:rFonts w:ascii="Calibri" w:hAnsi="Calibri" w:eastAsia="Microsoft YaHei"/>
          <w:sz w:val="22"/>
        </w:rPr>
        <w:t>以吸盘阵列中心为矩心，水平加速度和重心偏移形成的俯仰力矩为：</w:t>
      </w:r>
    </w:p>
    <w:p>
      <w:pPr>
        <w:pStyle w:val="AurekEquation"/>
        <w:spacing w:before="80" w:after="160"/>
        <w:jc w:val="center"/>
        <w:shd w:fill="EEF3F7"/>
      </w:pPr>
      <w:r>
        <w:rPr>
          <w:rFonts w:ascii="Consolas" w:hAnsi="Consolas" w:eastAsia="Microsoft YaHei"/>
          <w:color w:val="203748"/>
          <w:sz w:val="19"/>
        </w:rPr>
        <w:t>M_d = F_N,d e_x + F_T,d h</w:t>
        <w:br/>
        <w:t xml:space="preserve">    = 508.95 × 0.060 + 90 × 0.160</w:t>
        <w:br/>
        <w:t xml:space="preserve">    = 44.94 N·m</w:t>
        <w:br/>
        <w:br/>
        <w:t>两侧法向力差 ΔF = M_d / 0.25 = 179.76 N</w:t>
        <w:br/>
        <w:t>高载侧需求 = (508.95 + 179.76) / 2 = 344.36 N</w:t>
        <w:br/>
        <w:t>低载侧需求 = (508.95 - 179.76) / 2 = 164.60 N</w:t>
        <w:br/>
        <w:t>每侧容量 = 4 × 45000 × 0.0060 = 1080 N</w:t>
        <w:br/>
        <w:t>两侧均通过</w:t>
      </w:r>
    </w:p>
    <w:p>
      <w:pPr/>
      <w:r>
        <w:rPr>
          <w:rFonts w:ascii="Calibri" w:hAnsi="Calibri" w:eastAsia="Microsoft YaHei"/>
          <w:sz w:val="22"/>
        </w:rPr>
        <w:t>按四杯/侧平均分配，高载侧每杯 N_H＝344.36/4＝86.09 N，低载侧每杯 N_L＝164.60/4＝41.15 N，八杯切向力均为 T＝90/8＝11.25 N。线性组合包络为：</w:t>
      </w:r>
    </w:p>
    <w:p>
      <w:pPr>
        <w:pStyle w:val="AurekEquation"/>
        <w:spacing w:before="80" w:after="160"/>
        <w:jc w:val="center"/>
        <w:shd w:fill="EEF3F7"/>
      </w:pPr>
      <w:r>
        <w:rPr>
          <w:rFonts w:ascii="Consolas" w:hAnsi="Consolas" w:eastAsia="Microsoft YaHei"/>
          <w:color w:val="203748"/>
          <w:sz w:val="19"/>
        </w:rPr>
        <w:t>η_H = 86.09/270 + 11.25/(0.35×270) = 0.44</w:t>
        <w:br/>
        <w:t>η_L = 41.15/270 + 11.25/(0.35×270) = 0.27</w:t>
        <w:br/>
        <w:br/>
        <w:t>max(η_H,η_L) = 0.44 ≤ 1.00，组合载荷通过</w:t>
      </w:r>
    </w:p>
    <w:p>
      <w:pPr>
        <w:pStyle w:val="Heading2"/>
      </w:pPr>
      <w:r>
        <w:rPr>
          <w:rFonts w:ascii="Calibri" w:hAnsi="Calibri" w:eastAsia="Microsoft YaHei"/>
        </w:rPr>
        <w:t>06.2 流量与建立时间</w:t>
      </w:r>
    </w:p>
    <w:p>
      <w:pPr/>
      <w:r>
        <w:rPr>
          <w:rFonts w:ascii="Calibri" w:hAnsi="Calibri" w:eastAsia="Microsoft YaHei"/>
          <w:sz w:val="22"/>
        </w:rPr>
        <w:t>泄漏上界为 56.1 NL/min，源流量下界为 88.2 NL/min：</w:t>
      </w:r>
    </w:p>
    <w:p>
      <w:pPr>
        <w:pStyle w:val="AurekEquation"/>
        <w:spacing w:before="80" w:after="160"/>
        <w:jc w:val="center"/>
        <w:shd w:fill="EEF3F7"/>
      </w:pPr>
      <w:r>
        <w:rPr>
          <w:rFonts w:ascii="Consolas" w:hAnsi="Consolas" w:eastAsia="Microsoft YaHei"/>
          <w:color w:val="203748"/>
          <w:sz w:val="19"/>
        </w:rPr>
        <w:t>源/泄漏比 = Q_S,LB / Q_L,UB</w:t>
        <w:br/>
        <w:t xml:space="preserve">            = 88.2 / 56.1</w:t>
        <w:br/>
        <w:t xml:space="preserve">            = 1.572 ≥ 1.50，通过</w:t>
        <w:br/>
        <w:br/>
        <w:t>需求容量比 = Q_S,LB / (1.5 Q_L,UB)</w:t>
        <w:br/>
        <w:t xml:space="preserve">            = 88.2 / 84.15</w:t>
        <w:br/>
        <w:t xml:space="preserve">            = 1.048 ≥ 1.00，通过</w:t>
        <w:br/>
        <w:br/>
        <w:t>Q_net,LB = 88.2 - 56.1 = 32.1 NL/min = 0.535 L/s</w:t>
        <w:br/>
        <w:t>p_1 = 101.325 - 50 = 51.325 kPa</w:t>
        <w:br/>
        <w:br/>
        <w:t>t_ev = 1.80 × (101.325 - 51.325) / (101.325 × 0.535)</w:t>
        <w:br/>
        <w:t xml:space="preserve">     = 1.66 s</w:t>
        <w:br/>
        <w:t>t_pick = 1.66 + 0.20 + 0.10</w:t>
        <w:br/>
        <w:t xml:space="preserve">       = 1.96 s ≤ 2.00 s，通过</w:t>
      </w:r>
    </w:p>
    <w:p>
      <w:pPr/>
      <w:r>
        <w:rPr>
          <w:rFonts w:ascii="Calibri" w:hAnsi="Calibri" w:eastAsia="Microsoft YaHei"/>
          <w:sz w:val="22"/>
        </w:rPr>
        <w:t>“源/泄漏比”与“需求容量比”是两个不同指标，前者门槛为 1.50，后者门槛为 1.00。四区必须分别达到 50 kPa 下界并稳定 200 ms；任一区超过 2.00 s，R4 即不通过。</w:t>
      </w:r>
    </w:p>
    <w:p>
      <w:pPr>
        <w:pStyle w:val="Heading2"/>
      </w:pPr>
      <w:r>
        <w:rPr>
          <w:rFonts w:ascii="Calibri" w:hAnsi="Calibri" w:eastAsia="Microsoft YaHei"/>
        </w:rPr>
        <w:t>06.3 单区完全失效</w:t>
      </w:r>
    </w:p>
    <w:p>
      <w:pPr/>
      <w:r>
        <w:rPr>
          <w:rFonts w:ascii="Calibri" w:hAnsi="Calibri" w:eastAsia="Microsoft YaHei"/>
          <w:sz w:val="22"/>
        </w:rPr>
        <w:t>任一区隔离后剩余 6 个吸盘，面积 0.0360 m²；因每区在 x 正负两侧各布一杯，任一区失效后两侧仍各有 3 杯。</w:t>
      </w:r>
    </w:p>
    <w:p>
      <w:pPr>
        <w:pStyle w:val="AurekEquation"/>
        <w:spacing w:before="80" w:after="160"/>
        <w:jc w:val="center"/>
        <w:shd w:fill="EEF3F7"/>
      </w:pPr>
      <w:r>
        <w:rPr>
          <w:rFonts w:ascii="Consolas" w:hAnsi="Consolas" w:eastAsia="Microsoft YaHei"/>
          <w:color w:val="203748"/>
          <w:sz w:val="19"/>
        </w:rPr>
        <w:t>F_N,1fail = 45000 × 0.0360 = 1620 N</w:t>
        <w:br/>
        <w:t>法向容量比 = 1620 / 508.95 = 3.18，通过</w:t>
        <w:br/>
        <w:br/>
        <w:t>F_T,1fail = 0.35 × 1620 = 567 N</w:t>
        <w:br/>
        <w:t>切向容量比 = 567 / 90 = 6.30，通过</w:t>
        <w:br/>
        <w:br/>
        <w:t>单侧剩余容量 = 3 × 45000 × 0.0060 = 810 N</w:t>
        <w:br/>
        <w:t>810 ＞ 344.36 N 且 810 ＞ 164.60 N，力矩分配通过</w:t>
      </w:r>
    </w:p>
    <w:p>
      <w:pPr/>
      <w:r>
        <w:rPr>
          <w:rFonts w:ascii="Calibri" w:hAnsi="Calibri" w:eastAsia="Microsoft YaHei"/>
          <w:sz w:val="22"/>
        </w:rPr>
        <w:t>任一区失效后，高载侧和低载侧各剩三杯。取每杯 T＝90/6＝15 N：</w:t>
      </w:r>
    </w:p>
    <w:p>
      <w:pPr>
        <w:pStyle w:val="AurekEquation"/>
        <w:spacing w:before="80" w:after="160"/>
        <w:jc w:val="center"/>
        <w:shd w:fill="EEF3F7"/>
      </w:pPr>
      <w:r>
        <w:rPr>
          <w:rFonts w:ascii="Consolas" w:hAnsi="Consolas" w:eastAsia="Microsoft YaHei"/>
          <w:color w:val="203748"/>
          <w:sz w:val="19"/>
        </w:rPr>
        <w:t>N_H,1fail = 344.36/3 = 114.79 N</w:t>
        <w:br/>
        <w:t>N_L,1fail = 164.60/3 = 54.87 N</w:t>
        <w:br/>
        <w:br/>
        <w:t>η_H,1fail = 114.79/270 + 15/(0.35×270) = 0.584</w:t>
        <w:br/>
        <w:t>η_L,1fail = 54.87/270 + 15/(0.35×270) = 0.362</w:t>
        <w:br/>
        <w:br/>
        <w:t>max(η_H,1fail,η_L,1fail) = 0.584 ≤ 1.00，通过</w:t>
      </w:r>
    </w:p>
    <w:p>
      <w:pPr/>
      <w:r>
        <w:rPr>
          <w:rFonts w:ascii="Calibri" w:hAnsi="Calibri" w:eastAsia="Microsoft YaHei"/>
          <w:sz w:val="22"/>
        </w:rPr>
        <w:t>因此，该基准工况在 18 kg 质量上界、水平吸附面、已锁定正常/故障加速度和二维偏心包络内，正常状态及任一单区完全失效的快速筛查与组合载荷均通过。</w:t>
      </w:r>
    </w:p>
    <w:p>
      <w:pPr>
        <w:pStyle w:val="Heading2"/>
      </w:pPr>
      <w:r>
        <w:rPr>
          <w:rFonts w:ascii="Calibri" w:hAnsi="Calibri" w:eastAsia="Microsoft YaHei"/>
        </w:rPr>
        <w:t>06.4 主供能丧失与受控落位</w:t>
      </w:r>
    </w:p>
    <w:p>
      <w:pPr/>
      <w:r>
        <w:rPr>
          <w:rFonts w:ascii="Calibri" w:hAnsi="Calibri" w:eastAsia="Microsoft YaHei"/>
          <w:sz w:val="22"/>
        </w:rPr>
        <w:t>基准工况采用有效容积下界25.0 L的压缩空气储备，起始表压下界0.70 MPa、最低可用表压上界0.40 MPa；p_N＝0.101325 MPa，绝对压力P_1＝0.801325 MPa、P_2＝0.501325 MPa。采用空气γ＝1.4的绝热刚性罐放气模型，标准温度T_N＝293.15 K，罐内初温上界T_1,UB＝298.15 K；四区耗气量使用上界306 NL/min＝5.10 NL/s。最低供气表压0.40 MPa时，每区Q_S,LB＝88.2 NL/min，已通过1.50流量门。</w:t>
      </w:r>
    </w:p>
    <w:p>
      <w:pPr>
        <w:pStyle w:val="AurekEquation"/>
        <w:spacing w:before="80" w:after="160"/>
        <w:jc w:val="center"/>
        <w:shd w:fill="EEF3F7"/>
      </w:pPr>
      <w:r>
        <w:rPr>
          <w:rFonts w:ascii="Consolas" w:hAnsi="Consolas" w:eastAsia="Microsoft YaHei"/>
          <w:color w:val="203748"/>
          <w:sz w:val="19"/>
        </w:rPr>
        <w:t>m_2/m_1 = (P_2/P_1)^(1/γ)</w:t>
        <w:br/>
        <w:t xml:space="preserve">          = (0.501325/0.801325)^(1/1.4)</w:t>
        <w:br/>
        <w:t xml:space="preserve">          = 0.7153</w:t>
        <w:br/>
        <w:br/>
        <w:t>V_N,use = 25 × (0.801325/0.101325) × (293.15/298.15)</w:t>
        <w:br/>
        <w:t xml:space="preserve">          × (1 - 0.7153)</w:t>
        <w:br/>
        <w:t xml:space="preserve">        = 55.34 NL</w:t>
        <w:br/>
        <w:t>t_res = 55.34 / 5.10 = 10.85 s</w:t>
        <w:br/>
        <w:br/>
        <w:t>t_required = (t_2-t_0)_max + 2(t_3-t_2)_max</w:t>
        <w:br/>
        <w:t xml:space="preserve">           = 0.50 + 2 × 4.00</w:t>
        <w:br/>
        <w:t xml:space="preserve">           = 8.50 s</w:t>
        <w:br/>
        <w:t>10.85 ＞ 8.50 s，通过</w:t>
      </w:r>
    </w:p>
    <w:p>
      <w:pPr/>
      <w:r>
        <w:rPr>
          <w:rFonts w:ascii="Calibri" w:hAnsi="Calibri" w:eastAsia="Microsoft YaHei"/>
          <w:sz w:val="22"/>
        </w:rPr>
        <w:t>唯一计算结论：该配置通过 R2、R3、建立时间计算、单区失效计算和备用时长计算，可按第 08、09 章执行 FAT/SAT。FAT 与 SAT 的全部边界单元和故障注入均零失效，且整机前置门记录齐全时，形成“真空抓取子系统工程放行”。</w:t>
      </w:r>
    </w:p>
    <w:p>
      <w:pPr>
        <w:pStyle w:val="Heading1"/>
      </w:pPr>
      <w:r>
        <w:rPr>
          <w:rFonts w:ascii="Calibri" w:hAnsi="Calibri" w:eastAsia="Microsoft YaHei"/>
        </w:rPr>
        <w:t>07 单区故障、总失气与受控落位逻辑</w:t>
      </w:r>
    </w:p>
    <w:p>
      <w:pPr/>
      <w:r>
        <w:rPr>
          <w:rFonts w:ascii="Calibri" w:hAnsi="Calibri" w:eastAsia="Microsoft YaHei"/>
          <w:sz w:val="22"/>
        </w:rPr>
        <w:t>运行许可逻辑不得把报警与安全动作混在一个延时链中。状态机采用下列硬逻辑：</w:t>
      </w:r>
    </w:p>
    <w:p>
      <w:pPr>
        <w:pStyle w:val="AurekEquation"/>
        <w:spacing w:before="80" w:after="160"/>
        <w:jc w:val="center"/>
        <w:shd w:fill="EEF3F7"/>
      </w:pPr>
      <w:r>
        <w:rPr>
          <w:rFonts w:ascii="Consolas" w:hAnsi="Consolas" w:eastAsia="Microsoft YaHei"/>
          <w:color w:val="203748"/>
          <w:sz w:val="19"/>
        </w:rPr>
        <w:t>Lift_Enable =</w:t>
        <w:br/>
        <w:t>Workpiece_Present</w:t>
        <w:br/>
        <w:t>∧ Zone_A_OK ∧ Zone_B_OK ∧ Zone_C_OK ∧ Zone_D_OK</w:t>
        <w:br/>
        <w:t>∧ 每区Δp_LB ≥ 50 kPa连续200 ms</w:t>
        <w:br/>
        <w:t>∧ 200 ms窗口峰峰值 ≤ 2 kPa</w:t>
        <w:br/>
        <w:t>∧ Motion_Envelope_OK</w:t>
        <w:br/>
        <w:br/>
        <w:t>Single_Zone_Fault →</w:t>
        <w:br/>
        <w:t>禁止继续生产路径</w:t>
        <w:br/>
        <w:t>∧ |a_z,UB| ≤ 1.50 m/s²</w:t>
        <w:br/>
        <w:t>∧ √(a_x,UB²+a_y,UB²) ≤ 2.00 m/s²</w:t>
        <w:br/>
        <w:t>∧ 禁止翻转</w:t>
        <w:br/>
        <w:t>∧ 执行已登记支撑位S1落位</w:t>
        <w:br/>
        <w:br/>
        <w:t>Main_Supply_Loss →</w:t>
        <w:br/>
        <w:t>备用建立t_1-t_0 ≤ 0.10 s</w:t>
        <w:br/>
        <w:t>∧ 故障确认t_2-t_0 ≤ 0.50 s</w:t>
        <w:br/>
        <w:t>∧ 保持全部健康分区</w:t>
        <w:br/>
        <w:t>∧ 支撑转移t_3-t_2 ≤ 4.00 s</w:t>
      </w:r>
    </w:p>
    <w:p>
      <w:pPr/>
      <w:r>
        <w:rPr>
          <w:rFonts w:ascii="Calibri" w:hAnsi="Calibri" w:eastAsia="Microsoft YaHei"/>
          <w:sz w:val="22"/>
        </w:rPr>
        <w:t>四个时间戳采用同一 1 ms 时基：t_0 是主供气入口压力下界首次低于 0.55 MPa 表压或主阀开信号丢失的较早时刻；t_1 是四区发生器入口供气压力下界均达到 0.40 MPa 表压的首时刻；t_2 是控制器置位供能故障并发出落位命令的时刻；t_3 是两只独立支撑传感器均置位、支撑力下界达到 0.95m_UBg 且连续保持 500 ms 的首时刻。4.00 s 从 t_2 起算，主供能丧失至支撑转移的总上限为 4.50 s。</w:t>
      </w:r>
    </w:p>
    <w:p>
      <w:pPr/>
      <w:r>
        <w:rPr>
          <w:rFonts w:ascii="Calibri" w:hAnsi="Calibri" w:eastAsia="Microsoft YaHei"/>
          <w:sz w:val="22"/>
        </w:rPr>
        <w:t>本工况登记支撑位S1＝(1.00,0,−0.20) m，位置公差±5 mm，从运动包络任一点至S1的路径长度上界为1.20 m；支撑力下界门为0.95×18×9.81＝167.75 N。R1输入表必须登记支撑位坐标、路径上界和支撑力门；未登记位置不构成安全支撑位。</w:t>
      </w:r>
    </w:p>
    <w:p>
      <w:pPr/>
      <w:r>
        <w:rPr>
          <w:rFonts w:ascii="Calibri" w:hAnsi="Calibri" w:eastAsia="Microsoft YaHei"/>
          <w:sz w:val="22"/>
        </w:rPr>
        <w:t>任何故障发生后均不得主动排气。释放许可必须同时满足：末端位置进入 S1±5 mm；运动速度≤0.01 m/s并连续500 ms；两只独立支撑传感器连续500 ms置位；支撑力下界≥0.95m_UBg；人工释放指令保持500 ms。五项全部成立后才允许排气。压力恢复不得自动续跑，必须完成 t_3、检查工件并人工复位后建立新循环。</w:t>
      </w:r>
    </w:p>
    <w:p>
      <w:pPr/>
      <w:r>
        <w:rPr>
          <w:rFonts w:ascii="Calibri" w:hAnsi="Calibri" w:eastAsia="Microsoft YaHei"/>
          <w:sz w:val="22"/>
        </w:rPr>
        <w:t>备用供能必须在起始表压0.70 MPa、泄漏上界、耗气量上界、过滤器寿命边界和1.20 m故障路径组合下切断主供能实测。从 t_0 至 t_3，任一健康区压力下界＜45 kPa、任一故障加速度上界超限、t_1/t_2/t_3 任一时间门超限或人工托住工件，均判为受控落位失败。</w:t>
      </w:r>
    </w:p>
    <w:p>
      <w:pPr>
        <w:pStyle w:val="Heading1"/>
      </w:pPr>
      <w:r>
        <w:rPr>
          <w:rFonts w:ascii="Calibri" w:hAnsi="Calibri" w:eastAsia="Microsoft YaHei"/>
        </w:rPr>
        <w:t>08 测试矩阵、测量链与记录要求</w:t>
      </w:r>
    </w:p>
    <w:p>
      <w:pPr/>
      <w:r>
        <w:rPr>
          <w:rFonts w:ascii="Calibri" w:hAnsi="Calibri" w:eastAsia="Microsoft YaHei"/>
          <w:sz w:val="22"/>
        </w:rPr>
        <w:t>每一纸箱规格在 FAT 和 SAT 分别执行完整矩阵，FAT 数据不得抵扣 SAT。坐标原点为纸箱设计吸附中心，允许落点偏移固定为 x、y 各±20 mm，压缩量固定为 5 mm～9 mm。每个边界单元使用独立纸箱：三个来料批次、每批 10 箱、每箱 5 循环，共 150 循环；每循环保存四条分区曲线，因此每单元为 600 条分区曲线。</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300"/>
        <w:gridCol w:w="1760"/>
        <w:gridCol w:w="2060"/>
        <w:gridCol w:w="2120"/>
        <w:gridCol w:w="2120"/>
      </w:tblGrid>
      <w:tr>
        <w:trPr>
          <w:cantSplit w:val="true"/>
          <w:tblHeader w:val="true"/>
        </w:trPr>
        <w:tc>
          <w:tcPr>
            <w:tcW w:type="dxa" w:w="1300"/>
            <w:shd w:fill="2E74B5"/>
            <w:vAlign w:val="center"/>
          </w:tcPr>
          <w:p>
            <w:pPr>
              <w:pStyle w:val="AurekTable"/>
              <w:keepNext/>
              <w:keepLines/>
              <w:jc w:val="center"/>
            </w:pPr>
            <w:r>
              <w:rPr>
                <w:rFonts w:ascii="Calibri" w:hAnsi="Calibri" w:eastAsia="Microsoft YaHei"/>
                <w:b/>
                <w:color w:val="FFFFFF"/>
                <w:sz w:val="18"/>
              </w:rPr>
              <w:t>单元</w:t>
            </w:r>
          </w:p>
        </w:tc>
        <w:tc>
          <w:tcPr>
            <w:tcW w:type="dxa" w:w="1760"/>
            <w:shd w:fill="2E74B5"/>
            <w:vAlign w:val="center"/>
          </w:tcPr>
          <w:p>
            <w:pPr>
              <w:pStyle w:val="AurekTable"/>
              <w:keepNext/>
              <w:keepLines/>
              <w:jc w:val="center"/>
            </w:pPr>
            <w:r>
              <w:rPr>
                <w:rFonts w:ascii="Calibri" w:hAnsi="Calibri" w:eastAsia="Microsoft YaHei"/>
                <w:b/>
                <w:color w:val="FFFFFF"/>
                <w:sz w:val="18"/>
              </w:rPr>
              <w:t>落点/状态</w:t>
            </w:r>
          </w:p>
        </w:tc>
        <w:tc>
          <w:tcPr>
            <w:tcW w:type="dxa" w:w="2060"/>
            <w:shd w:fill="2E74B5"/>
            <w:vAlign w:val="center"/>
          </w:tcPr>
          <w:p>
            <w:pPr>
              <w:pStyle w:val="AurekTable"/>
              <w:keepNext/>
              <w:keepLines/>
              <w:jc w:val="center"/>
            </w:pPr>
            <w:r>
              <w:rPr>
                <w:rFonts w:ascii="Calibri" w:hAnsi="Calibri" w:eastAsia="Microsoft YaHei"/>
                <w:b/>
                <w:color w:val="FFFFFF"/>
                <w:sz w:val="18"/>
              </w:rPr>
              <w:t>压缩量</w:t>
            </w:r>
          </w:p>
        </w:tc>
        <w:tc>
          <w:tcPr>
            <w:tcW w:type="dxa" w:w="2120"/>
            <w:shd w:fill="2E74B5"/>
            <w:vAlign w:val="center"/>
          </w:tcPr>
          <w:p>
            <w:pPr>
              <w:pStyle w:val="AurekTable"/>
              <w:keepNext/>
              <w:keepLines/>
              <w:jc w:val="center"/>
            </w:pPr>
            <w:r>
              <w:rPr>
                <w:rFonts w:ascii="Calibri" w:hAnsi="Calibri" w:eastAsia="Microsoft YaHei"/>
                <w:b/>
                <w:color w:val="FFFFFF"/>
                <w:sz w:val="18"/>
              </w:rPr>
              <w:t>污染与寿命</w:t>
            </w:r>
          </w:p>
        </w:tc>
        <w:tc>
          <w:tcPr>
            <w:tcW w:type="dxa" w:w="2120"/>
            <w:shd w:fill="2E74B5"/>
            <w:vAlign w:val="center"/>
          </w:tcPr>
          <w:p>
            <w:pPr>
              <w:pStyle w:val="AurekTable"/>
              <w:keepNext/>
              <w:keepLines/>
              <w:jc w:val="center"/>
            </w:pPr>
            <w:r>
              <w:rPr>
                <w:rFonts w:ascii="Calibri" w:hAnsi="Calibri" w:eastAsia="Microsoft YaHei"/>
                <w:b/>
                <w:color w:val="FFFFFF"/>
                <w:sz w:val="18"/>
              </w:rPr>
              <w:t>每阶段样本</w:t>
            </w:r>
          </w:p>
        </w:tc>
      </w:tr>
      <w:tr>
        <w:trPr>
          <w:cantSplit w:val="true"/>
        </w:trPr>
        <w:tc>
          <w:tcPr>
            <w:tcW w:type="dxa" w:w="1300"/>
            <w:shd w:fill="F2F4F7"/>
            <w:vAlign w:val="center"/>
          </w:tcPr>
          <w:p>
            <w:pPr>
              <w:pStyle w:val="AurekTable"/>
              <w:jc w:val="left"/>
            </w:pPr>
            <w:r>
              <w:rPr>
                <w:rFonts w:ascii="Calibri" w:hAnsi="Calibri" w:eastAsia="Microsoft YaHei"/>
                <w:sz w:val="18"/>
              </w:rPr>
              <w:t>E1</w:t>
            </w:r>
          </w:p>
        </w:tc>
        <w:tc>
          <w:tcPr>
            <w:tcW w:type="dxa" w:w="1760"/>
            <w:vAlign w:val="center"/>
          </w:tcPr>
          <w:p>
            <w:pPr>
              <w:pStyle w:val="AurekTable"/>
              <w:jc w:val="left"/>
            </w:pPr>
            <w:r>
              <w:rPr>
                <w:rFonts w:ascii="Calibri" w:hAnsi="Calibri" w:eastAsia="Microsoft YaHei"/>
                <w:sz w:val="18"/>
              </w:rPr>
              <w:t>(0,0) mm，未印刷中心区</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E2</w:t>
            </w:r>
          </w:p>
        </w:tc>
        <w:tc>
          <w:tcPr>
            <w:tcW w:type="dxa" w:w="1760"/>
            <w:vAlign w:val="center"/>
          </w:tcPr>
          <w:p>
            <w:pPr>
              <w:pStyle w:val="AurekTable"/>
              <w:jc w:val="left"/>
            </w:pPr>
            <w:r>
              <w:rPr>
                <w:rFonts w:ascii="Calibri" w:hAnsi="Calibri" w:eastAsia="Microsoft YaHei"/>
                <w:sz w:val="18"/>
              </w:rPr>
              <w:t>(+20,0)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E3</w:t>
            </w:r>
          </w:p>
        </w:tc>
        <w:tc>
          <w:tcPr>
            <w:tcW w:type="dxa" w:w="1760"/>
            <w:vAlign w:val="center"/>
          </w:tcPr>
          <w:p>
            <w:pPr>
              <w:pStyle w:val="AurekTable"/>
              <w:jc w:val="left"/>
            </w:pPr>
            <w:r>
              <w:rPr>
                <w:rFonts w:ascii="Calibri" w:hAnsi="Calibri" w:eastAsia="Microsoft YaHei"/>
                <w:sz w:val="18"/>
              </w:rPr>
              <w:t>(−20,0)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E4</w:t>
            </w:r>
          </w:p>
        </w:tc>
        <w:tc>
          <w:tcPr>
            <w:tcW w:type="dxa" w:w="1760"/>
            <w:vAlign w:val="center"/>
          </w:tcPr>
          <w:p>
            <w:pPr>
              <w:pStyle w:val="AurekTable"/>
              <w:jc w:val="left"/>
            </w:pPr>
            <w:r>
              <w:rPr>
                <w:rFonts w:ascii="Calibri" w:hAnsi="Calibri" w:eastAsia="Microsoft YaHei"/>
                <w:sz w:val="18"/>
              </w:rPr>
              <w:t>(0,+20)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E5</w:t>
            </w:r>
          </w:p>
        </w:tc>
        <w:tc>
          <w:tcPr>
            <w:tcW w:type="dxa" w:w="1760"/>
            <w:vAlign w:val="center"/>
          </w:tcPr>
          <w:p>
            <w:pPr>
              <w:pStyle w:val="AurekTable"/>
              <w:jc w:val="left"/>
            </w:pPr>
            <w:r>
              <w:rPr>
                <w:rFonts w:ascii="Calibri" w:hAnsi="Calibri" w:eastAsia="Microsoft YaHei"/>
                <w:sz w:val="18"/>
              </w:rPr>
              <w:t>(0,−20)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E6</w:t>
            </w:r>
          </w:p>
        </w:tc>
        <w:tc>
          <w:tcPr>
            <w:tcW w:type="dxa" w:w="1760"/>
            <w:vAlign w:val="center"/>
          </w:tcPr>
          <w:p>
            <w:pPr>
              <w:pStyle w:val="AurekTable"/>
              <w:jc w:val="left"/>
            </w:pPr>
            <w:r>
              <w:rPr>
                <w:rFonts w:ascii="Calibri" w:hAnsi="Calibri" w:eastAsia="Microsoft YaHei"/>
                <w:sz w:val="18"/>
              </w:rPr>
              <w:t>印刷覆盖率100%区域，密封唇距胶带边10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E7</w:t>
            </w:r>
          </w:p>
        </w:tc>
        <w:tc>
          <w:tcPr>
            <w:tcW w:type="dxa" w:w="1760"/>
            <w:vAlign w:val="center"/>
          </w:tcPr>
          <w:p>
            <w:pPr>
              <w:pStyle w:val="AurekTable"/>
              <w:jc w:val="left"/>
            </w:pPr>
            <w:r>
              <w:rPr>
                <w:rFonts w:ascii="Calibri" w:hAnsi="Calibri" w:eastAsia="Microsoft YaHei"/>
                <w:sz w:val="18"/>
              </w:rPr>
              <w:t>(0,0) mm</w:t>
            </w:r>
          </w:p>
        </w:tc>
        <w:tc>
          <w:tcPr>
            <w:tcW w:type="dxa" w:w="2060"/>
            <w:vAlign w:val="center"/>
          </w:tcPr>
          <w:p>
            <w:pPr>
              <w:pStyle w:val="AurekTable"/>
              <w:jc w:val="left"/>
            </w:pPr>
            <w:r>
              <w:rPr>
                <w:rFonts w:ascii="Calibri" w:hAnsi="Calibri" w:eastAsia="Microsoft YaHei"/>
                <w:sz w:val="18"/>
              </w:rPr>
              <w:t>5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E8</w:t>
            </w:r>
          </w:p>
        </w:tc>
        <w:tc>
          <w:tcPr>
            <w:tcW w:type="dxa" w:w="1760"/>
            <w:vAlign w:val="center"/>
          </w:tcPr>
          <w:p>
            <w:pPr>
              <w:pStyle w:val="AurekTable"/>
              <w:jc w:val="left"/>
            </w:pPr>
            <w:r>
              <w:rPr>
                <w:rFonts w:ascii="Calibri" w:hAnsi="Calibri" w:eastAsia="Microsoft YaHei"/>
                <w:sz w:val="18"/>
              </w:rPr>
              <w:t>(0,0) mm</w:t>
            </w:r>
          </w:p>
        </w:tc>
        <w:tc>
          <w:tcPr>
            <w:tcW w:type="dxa" w:w="2060"/>
            <w:vAlign w:val="center"/>
          </w:tcPr>
          <w:p>
            <w:pPr>
              <w:pStyle w:val="AurekTable"/>
              <w:jc w:val="left"/>
            </w:pPr>
            <w:r>
              <w:rPr>
                <w:rFonts w:ascii="Calibri" w:hAnsi="Calibri" w:eastAsia="Microsoft YaHei"/>
                <w:sz w:val="18"/>
              </w:rPr>
              <w:t>9 mm</w:t>
            </w:r>
          </w:p>
        </w:tc>
        <w:tc>
          <w:tcPr>
            <w:tcW w:type="dxa" w:w="2120"/>
            <w:vAlign w:val="center"/>
          </w:tcPr>
          <w:p>
            <w:pPr>
              <w:pStyle w:val="AurekTable"/>
              <w:jc w:val="left"/>
            </w:pPr>
            <w:r>
              <w:rPr>
                <w:rFonts w:ascii="Calibri" w:hAnsi="Calibri" w:eastAsia="Microsoft YaHei"/>
                <w:sz w:val="18"/>
              </w:rPr>
              <w:t>清洁新件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E9</w:t>
            </w:r>
          </w:p>
        </w:tc>
        <w:tc>
          <w:tcPr>
            <w:tcW w:type="dxa" w:w="1760"/>
            <w:vAlign w:val="center"/>
          </w:tcPr>
          <w:p>
            <w:pPr>
              <w:pStyle w:val="AurekTable"/>
              <w:jc w:val="left"/>
            </w:pPr>
            <w:r>
              <w:rPr>
                <w:rFonts w:ascii="Calibri" w:hAnsi="Calibri" w:eastAsia="Microsoft YaHei"/>
                <w:sz w:val="18"/>
              </w:rPr>
              <w:t>(0,0)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0.50 g/m²纸粉、新件</w:t>
            </w:r>
          </w:p>
        </w:tc>
        <w:tc>
          <w:tcPr>
            <w:tcW w:type="dxa" w:w="2120"/>
            <w:vAlign w:val="center"/>
          </w:tcPr>
          <w:p>
            <w:pPr>
              <w:pStyle w:val="AurekTable"/>
              <w:jc w:val="left"/>
            </w:pPr>
            <w:r>
              <w:rPr>
                <w:rFonts w:ascii="Calibri" w:hAnsi="Calibri" w:eastAsia="Microsoft YaHei"/>
                <w:sz w:val="18"/>
              </w:rPr>
              <w:t>150循环/600曲线</w:t>
            </w:r>
          </w:p>
        </w:tc>
      </w:tr>
      <w:tr>
        <w:trPr>
          <w:cantSplit w:val="true"/>
        </w:trPr>
        <w:tc>
          <w:tcPr>
            <w:tcW w:type="dxa" w:w="1300"/>
            <w:shd w:fill="F2F4F7"/>
            <w:vAlign w:val="center"/>
          </w:tcPr>
          <w:p>
            <w:pPr>
              <w:pStyle w:val="AurekTable"/>
              <w:jc w:val="left"/>
            </w:pPr>
            <w:r>
              <w:rPr>
                <w:rFonts w:ascii="Calibri" w:hAnsi="Calibri" w:eastAsia="Microsoft YaHei"/>
                <w:sz w:val="18"/>
              </w:rPr>
              <w:t>E10</w:t>
            </w:r>
          </w:p>
        </w:tc>
        <w:tc>
          <w:tcPr>
            <w:tcW w:type="dxa" w:w="1760"/>
            <w:vAlign w:val="center"/>
          </w:tcPr>
          <w:p>
            <w:pPr>
              <w:pStyle w:val="AurekTable"/>
              <w:jc w:val="left"/>
            </w:pPr>
            <w:r>
              <w:rPr>
                <w:rFonts w:ascii="Calibri" w:hAnsi="Calibri" w:eastAsia="Microsoft YaHei"/>
                <w:sz w:val="18"/>
              </w:rPr>
              <w:t>(0,0) mm</w:t>
            </w:r>
          </w:p>
        </w:tc>
        <w:tc>
          <w:tcPr>
            <w:tcW w:type="dxa" w:w="2060"/>
            <w:vAlign w:val="center"/>
          </w:tcPr>
          <w:p>
            <w:pPr>
              <w:pStyle w:val="AurekTable"/>
              <w:jc w:val="left"/>
            </w:pPr>
            <w:r>
              <w:rPr>
                <w:rFonts w:ascii="Calibri" w:hAnsi="Calibri" w:eastAsia="Microsoft YaHei"/>
                <w:sz w:val="18"/>
              </w:rPr>
              <w:t>7 mm</w:t>
            </w:r>
          </w:p>
        </w:tc>
        <w:tc>
          <w:tcPr>
            <w:tcW w:type="dxa" w:w="2120"/>
            <w:vAlign w:val="center"/>
          </w:tcPr>
          <w:p>
            <w:pPr>
              <w:pStyle w:val="AurekTable"/>
              <w:jc w:val="left"/>
            </w:pPr>
            <w:r>
              <w:rPr>
                <w:rFonts w:ascii="Calibri" w:hAnsi="Calibri" w:eastAsia="Microsoft YaHei"/>
                <w:sz w:val="18"/>
              </w:rPr>
              <w:t>0.50 g/m²纸粉、100000循环或0.50 mm磨损件</w:t>
            </w:r>
          </w:p>
        </w:tc>
        <w:tc>
          <w:tcPr>
            <w:tcW w:type="dxa" w:w="2120"/>
            <w:vAlign w:val="center"/>
          </w:tcPr>
          <w:p>
            <w:pPr>
              <w:pStyle w:val="AurekTable"/>
              <w:jc w:val="left"/>
            </w:pPr>
            <w:r>
              <w:rPr>
                <w:rFonts w:ascii="Calibri" w:hAnsi="Calibri" w:eastAsia="Microsoft YaHei"/>
                <w:sz w:val="18"/>
              </w:rPr>
              <w:t>150循环/600曲线</w:t>
            </w:r>
          </w:p>
        </w:tc>
      </w:tr>
    </w:tbl>
    <w:p>
      <w:pPr>
        <w:spacing w:after="40"/>
      </w:pPr>
    </w:p>
    <w:p>
      <w:pPr/>
      <w:r>
        <w:rPr>
          <w:rFonts w:ascii="Calibri" w:hAnsi="Calibri" w:eastAsia="Microsoft YaHei"/>
          <w:sz w:val="22"/>
        </w:rPr>
        <w:t>每一纸箱规格、每一阶段合计 1500 个泄漏/建立循环和 6000 条分区曲线；FAT 与 SAT 合计 3000 循环和 12000 条分区曲线。新增纸箱材料、楞型、层数、涂层、胶带或质量上限时，作为新规格重新执行全部数量。</w:t>
      </w:r>
    </w:p>
    <w:p>
      <w:pPr/>
      <w:r>
        <w:rPr>
          <w:rFonts w:ascii="Calibri" w:hAnsi="Calibri" w:eastAsia="Microsoft YaHei"/>
          <w:sz w:val="22"/>
        </w:rPr>
        <w:t>动态搬运设六个路径单元：D1为18 kg、a_z,UB＝+1.50 m/s²且a_x,UB＝0；D2为18 kg、a_x,UB＝+2.00 m/s²且a_z,UB＝0；D3为18 kg、a_x,UB＝−2.00 m/s²且a_z,UB＝0；D4同时施加a_z,UB＝+1.50 m/s²、a_x,UB＝+2.00 m/s²；D5同时施加a_z,UB＝+1.50 m/s²、a_x,UB＝−2.00 m/s²；D6为单区故障后沿1.20 m上界路径落至S1。六个单元均使用E10污染与寿命状态，每单元三个批次×10箱×4循环＝120循环。每一阶段动态试验为720循环，FAT与SAT合计1440循环。</w:t>
      </w:r>
    </w:p>
    <w:p>
      <w:pPr/>
      <w:r>
        <w:rPr>
          <w:rFonts w:ascii="Calibri" w:hAnsi="Calibri" w:eastAsia="Microsoft YaHei"/>
          <w:sz w:val="22"/>
        </w:rPr>
        <w:t>每一阶段还独立完成：有效面积8杯×3个压缩量×2个寿命状态×10次＝480次；摩擦系数2个压差×2个寿命状态×2个污染状态×30次＝240次；发生器在0.40 MPa供气表压、过滤器压差5 kPa条件下完成4区×10条0～50 kPa曲线＝40条。上述数量不得与E1～E10或D1～D6互相抵扣。</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keepNext/>
              <w:keepLines/>
              <w:jc w:val="center"/>
            </w:pPr>
            <w:r>
              <w:rPr>
                <w:rFonts w:ascii="Calibri" w:hAnsi="Calibri" w:eastAsia="Microsoft YaHei"/>
                <w:b/>
                <w:color w:val="FFFFFF"/>
                <w:sz w:val="18"/>
              </w:rPr>
              <w:t>测量项目</w:t>
            </w:r>
          </w:p>
        </w:tc>
        <w:tc>
          <w:tcPr>
            <w:tcW w:type="dxa" w:w="2160"/>
            <w:shd w:fill="2E74B5"/>
            <w:vAlign w:val="center"/>
          </w:tcPr>
          <w:p>
            <w:pPr>
              <w:pStyle w:val="AurekTable"/>
              <w:keepNext/>
              <w:keepLines/>
              <w:jc w:val="center"/>
            </w:pPr>
            <w:r>
              <w:rPr>
                <w:rFonts w:ascii="Calibri" w:hAnsi="Calibri" w:eastAsia="Microsoft YaHei"/>
                <w:b/>
                <w:color w:val="FFFFFF"/>
                <w:sz w:val="18"/>
              </w:rPr>
              <w:t>仪器与采样</w:t>
            </w:r>
          </w:p>
        </w:tc>
        <w:tc>
          <w:tcPr>
            <w:tcW w:type="dxa" w:w="2700"/>
            <w:shd w:fill="2E74B5"/>
            <w:vAlign w:val="center"/>
          </w:tcPr>
          <w:p>
            <w:pPr>
              <w:pStyle w:val="AurekTable"/>
              <w:keepNext/>
              <w:keepLines/>
              <w:jc w:val="center"/>
            </w:pPr>
            <w:r>
              <w:rPr>
                <w:rFonts w:ascii="Calibri" w:hAnsi="Calibri" w:eastAsia="Microsoft YaHei"/>
                <w:b/>
                <w:color w:val="FFFFFF"/>
                <w:sz w:val="18"/>
              </w:rPr>
              <w:t>必须记录</w:t>
            </w:r>
          </w:p>
        </w:tc>
        <w:tc>
          <w:tcPr>
            <w:tcW w:type="dxa" w:w="3000"/>
            <w:shd w:fill="2E74B5"/>
            <w:vAlign w:val="center"/>
          </w:tcPr>
          <w:p>
            <w:pPr>
              <w:pStyle w:val="AurekTable"/>
              <w:keepNext/>
              <w:keepLines/>
              <w:jc w:val="center"/>
            </w:pPr>
            <w:r>
              <w:rPr>
                <w:rFonts w:ascii="Calibri" w:hAnsi="Calibri" w:eastAsia="Microsoft YaHei"/>
                <w:b/>
                <w:color w:val="FFFFFF"/>
                <w:sz w:val="18"/>
              </w:rPr>
              <w:t>判定</w:t>
            </w:r>
          </w:p>
        </w:tc>
      </w:tr>
      <w:tr>
        <w:trPr>
          <w:cantSplit w:val="true"/>
        </w:trPr>
        <w:tc>
          <w:tcPr>
            <w:tcW w:type="dxa" w:w="1500"/>
            <w:shd w:fill="F2F4F7"/>
            <w:vAlign w:val="center"/>
          </w:tcPr>
          <w:p>
            <w:pPr>
              <w:pStyle w:val="AurekTable"/>
              <w:jc w:val="left"/>
            </w:pPr>
            <w:r>
              <w:rPr>
                <w:rFonts w:ascii="Calibri" w:hAnsi="Calibri" w:eastAsia="Microsoft YaHei"/>
                <w:sz w:val="18"/>
              </w:rPr>
              <w:t>分区压力</w:t>
            </w:r>
          </w:p>
        </w:tc>
        <w:tc>
          <w:tcPr>
            <w:tcW w:type="dxa" w:w="2160"/>
            <w:vAlign w:val="center"/>
          </w:tcPr>
          <w:p>
            <w:pPr>
              <w:pStyle w:val="AurekTable"/>
              <w:jc w:val="left"/>
            </w:pPr>
            <w:r>
              <w:rPr>
                <w:rFonts w:ascii="Calibri" w:hAnsi="Calibri" w:eastAsia="Microsoft YaHei"/>
                <w:sz w:val="18"/>
              </w:rPr>
              <w:t>每区独立绝压或差压传感器，≥100 Hz，U_p/p≤2%</w:t>
            </w:r>
          </w:p>
        </w:tc>
        <w:tc>
          <w:tcPr>
            <w:tcW w:type="dxa" w:w="2700"/>
            <w:vAlign w:val="center"/>
          </w:tcPr>
          <w:p>
            <w:pPr>
              <w:pStyle w:val="AurekTable"/>
              <w:jc w:val="left"/>
            </w:pPr>
            <w:r>
              <w:rPr>
                <w:rFonts w:ascii="Calibri" w:hAnsi="Calibri" w:eastAsia="Microsoft YaHei"/>
                <w:sz w:val="18"/>
              </w:rPr>
              <w:t>Δp_meas、U_p、Δp_LB</w:t>
            </w:r>
          </w:p>
        </w:tc>
        <w:tc>
          <w:tcPr>
            <w:tcW w:type="dxa" w:w="3000"/>
            <w:vAlign w:val="center"/>
          </w:tcPr>
          <w:p>
            <w:pPr>
              <w:pStyle w:val="AurekTable"/>
              <w:jc w:val="left"/>
            </w:pPr>
            <w:r>
              <w:rPr>
                <w:rFonts w:ascii="Calibri" w:hAnsi="Calibri" w:eastAsia="Microsoft YaHei"/>
                <w:sz w:val="18"/>
              </w:rPr>
              <w:t>提升前Δp_LB≥50 kPa；故障期间健康区Δp_LB≥45 kPa</w:t>
            </w:r>
          </w:p>
        </w:tc>
      </w:tr>
      <w:tr>
        <w:trPr>
          <w:cantSplit w:val="true"/>
        </w:trPr>
        <w:tc>
          <w:tcPr>
            <w:tcW w:type="dxa" w:w="1500"/>
            <w:shd w:fill="F2F4F7"/>
            <w:vAlign w:val="center"/>
          </w:tcPr>
          <w:p>
            <w:pPr>
              <w:pStyle w:val="AurekTable"/>
              <w:jc w:val="left"/>
            </w:pPr>
            <w:r>
              <w:rPr>
                <w:rFonts w:ascii="Calibri" w:hAnsi="Calibri" w:eastAsia="Microsoft YaHei"/>
                <w:sz w:val="18"/>
              </w:rPr>
              <w:t>泄漏与源流量</w:t>
            </w:r>
          </w:p>
        </w:tc>
        <w:tc>
          <w:tcPr>
            <w:tcW w:type="dxa" w:w="2160"/>
            <w:vAlign w:val="center"/>
          </w:tcPr>
          <w:p>
            <w:pPr>
              <w:pStyle w:val="AurekTable"/>
              <w:jc w:val="left"/>
            </w:pPr>
            <w:r>
              <w:rPr>
                <w:rFonts w:ascii="Calibri" w:hAnsi="Calibri" w:eastAsia="Microsoft YaHei"/>
                <w:sz w:val="18"/>
              </w:rPr>
              <w:t>标准流量计≥100 Hz，U_Q/Q≤2%</w:t>
            </w:r>
          </w:p>
        </w:tc>
        <w:tc>
          <w:tcPr>
            <w:tcW w:type="dxa" w:w="2700"/>
            <w:vAlign w:val="center"/>
          </w:tcPr>
          <w:p>
            <w:pPr>
              <w:pStyle w:val="AurekTable"/>
              <w:jc w:val="left"/>
            </w:pPr>
            <w:r>
              <w:rPr>
                <w:rFonts w:ascii="Calibri" w:hAnsi="Calibri" w:eastAsia="Microsoft YaHei"/>
                <w:sz w:val="18"/>
              </w:rPr>
              <w:t>Q_meas、U_Q、标准状态</w:t>
            </w:r>
          </w:p>
        </w:tc>
        <w:tc>
          <w:tcPr>
            <w:tcW w:type="dxa" w:w="3000"/>
            <w:vAlign w:val="center"/>
          </w:tcPr>
          <w:p>
            <w:pPr>
              <w:pStyle w:val="AurekTable"/>
              <w:jc w:val="left"/>
            </w:pPr>
            <w:r>
              <w:rPr>
                <w:rFonts w:ascii="Calibri" w:hAnsi="Calibri" w:eastAsia="Microsoft YaHei"/>
                <w:sz w:val="18"/>
              </w:rPr>
              <w:t>Q_S,LB/Q_L,UB≥1.50</w:t>
            </w:r>
          </w:p>
        </w:tc>
      </w:tr>
      <w:tr>
        <w:trPr>
          <w:cantSplit w:val="true"/>
        </w:trPr>
        <w:tc>
          <w:tcPr>
            <w:tcW w:type="dxa" w:w="1500"/>
            <w:shd w:fill="F2F4F7"/>
            <w:vAlign w:val="center"/>
          </w:tcPr>
          <w:p>
            <w:pPr>
              <w:pStyle w:val="AurekTable"/>
              <w:jc w:val="left"/>
            </w:pPr>
            <w:r>
              <w:rPr>
                <w:rFonts w:ascii="Calibri" w:hAnsi="Calibri" w:eastAsia="Microsoft YaHei"/>
                <w:sz w:val="18"/>
              </w:rPr>
              <w:t>质量与坐标</w:t>
            </w:r>
          </w:p>
        </w:tc>
        <w:tc>
          <w:tcPr>
            <w:tcW w:type="dxa" w:w="2160"/>
            <w:vAlign w:val="center"/>
          </w:tcPr>
          <w:p>
            <w:pPr>
              <w:pStyle w:val="AurekTable"/>
              <w:jc w:val="left"/>
            </w:pPr>
            <w:r>
              <w:rPr>
                <w:rFonts w:ascii="Calibri" w:hAnsi="Calibri" w:eastAsia="Microsoft YaHei"/>
                <w:sz w:val="18"/>
              </w:rPr>
              <w:t>校准秤U_m≤0.10 kg；三维测量U_r≤1.0 mm</w:t>
            </w:r>
          </w:p>
        </w:tc>
        <w:tc>
          <w:tcPr>
            <w:tcW w:type="dxa" w:w="2700"/>
            <w:vAlign w:val="center"/>
          </w:tcPr>
          <w:p>
            <w:pPr>
              <w:pStyle w:val="AurekTable"/>
              <w:jc w:val="left"/>
            </w:pPr>
            <w:r>
              <w:rPr>
                <w:rFonts w:ascii="Calibri" w:hAnsi="Calibri" w:eastAsia="Microsoft YaHei"/>
                <w:sz w:val="18"/>
              </w:rPr>
              <w:t>m_meas、U_m、吸盘/重心/支撑位坐标</w:t>
            </w:r>
          </w:p>
        </w:tc>
        <w:tc>
          <w:tcPr>
            <w:tcW w:type="dxa" w:w="3000"/>
            <w:vAlign w:val="center"/>
          </w:tcPr>
          <w:p>
            <w:pPr>
              <w:pStyle w:val="AurekTable"/>
              <w:jc w:val="left"/>
            </w:pPr>
            <w:r>
              <w:rPr>
                <w:rFonts w:ascii="Calibri" w:hAnsi="Calibri" w:eastAsia="Microsoft YaHei"/>
                <w:sz w:val="18"/>
              </w:rPr>
              <w:t>m_UB＝m_meas+U_m；偏心与力臂取绝对值加U_r</w:t>
            </w:r>
          </w:p>
        </w:tc>
      </w:tr>
      <w:tr>
        <w:trPr>
          <w:cantSplit w:val="true"/>
        </w:trPr>
        <w:tc>
          <w:tcPr>
            <w:tcW w:type="dxa" w:w="1500"/>
            <w:shd w:fill="F2F4F7"/>
            <w:vAlign w:val="center"/>
          </w:tcPr>
          <w:p>
            <w:pPr>
              <w:pStyle w:val="AurekTable"/>
              <w:jc w:val="left"/>
            </w:pPr>
            <w:r>
              <w:rPr>
                <w:rFonts w:ascii="Calibri" w:hAnsi="Calibri" w:eastAsia="Microsoft YaHei"/>
                <w:sz w:val="18"/>
              </w:rPr>
              <w:t>动态载荷</w:t>
            </w:r>
          </w:p>
        </w:tc>
        <w:tc>
          <w:tcPr>
            <w:tcW w:type="dxa" w:w="2160"/>
            <w:vAlign w:val="center"/>
          </w:tcPr>
          <w:p>
            <w:pPr>
              <w:pStyle w:val="AurekTable"/>
              <w:jc w:val="left"/>
            </w:pPr>
            <w:r>
              <w:rPr>
                <w:rFonts w:ascii="Calibri" w:hAnsi="Calibri" w:eastAsia="Microsoft YaHei"/>
                <w:sz w:val="18"/>
              </w:rPr>
              <w:t>独立三轴加速度计≥200 Hz，U_a≤0.05 m/s²</w:t>
            </w:r>
          </w:p>
        </w:tc>
        <w:tc>
          <w:tcPr>
            <w:tcW w:type="dxa" w:w="2700"/>
            <w:vAlign w:val="center"/>
          </w:tcPr>
          <w:p>
            <w:pPr>
              <w:pStyle w:val="AurekTable"/>
              <w:jc w:val="left"/>
            </w:pPr>
            <w:r>
              <w:rPr>
                <w:rFonts w:ascii="Calibri" w:hAnsi="Calibri" w:eastAsia="Microsoft YaHei"/>
                <w:sz w:val="18"/>
              </w:rPr>
              <w:t>各轴示值、U_a、故障制动峰值</w:t>
            </w:r>
          </w:p>
        </w:tc>
        <w:tc>
          <w:tcPr>
            <w:tcW w:type="dxa" w:w="3000"/>
            <w:vAlign w:val="center"/>
          </w:tcPr>
          <w:p>
            <w:pPr>
              <w:pStyle w:val="AurekTable"/>
              <w:jc w:val="left"/>
            </w:pPr>
            <w:r>
              <w:rPr>
                <w:rFonts w:ascii="Calibri" w:hAnsi="Calibri" w:eastAsia="Microsoft YaHei"/>
                <w:sz w:val="18"/>
              </w:rPr>
              <w:t>a_UB＝max</w:t>
            </w:r>
          </w:p>
        </w:tc>
      </w:tr>
      <w:tr>
        <w:trPr>
          <w:cantSplit w:val="true"/>
        </w:trPr>
        <w:tc>
          <w:tcPr>
            <w:tcW w:type="dxa" w:w="1500"/>
            <w:shd w:fill="F2F4F7"/>
            <w:vAlign w:val="center"/>
          </w:tcPr>
          <w:p>
            <w:pPr>
              <w:pStyle w:val="AurekTable"/>
              <w:jc w:val="left"/>
            </w:pPr>
            <w:r>
              <w:rPr>
                <w:rFonts w:ascii="Calibri" w:hAnsi="Calibri" w:eastAsia="Microsoft YaHei"/>
                <w:sz w:val="18"/>
              </w:rPr>
              <w:t>位移/滑移</w:t>
            </w:r>
          </w:p>
        </w:tc>
        <w:tc>
          <w:tcPr>
            <w:tcW w:type="dxa" w:w="2160"/>
            <w:vAlign w:val="center"/>
          </w:tcPr>
          <w:p>
            <w:pPr>
              <w:pStyle w:val="AurekTable"/>
              <w:jc w:val="left"/>
            </w:pPr>
            <w:r>
              <w:rPr>
                <w:rFonts w:ascii="Calibri" w:hAnsi="Calibri" w:eastAsia="Microsoft YaHei"/>
                <w:sz w:val="18"/>
              </w:rPr>
              <w:t>≥100 fps视觉测量，U_s≤0.20 mm</w:t>
            </w:r>
          </w:p>
        </w:tc>
        <w:tc>
          <w:tcPr>
            <w:tcW w:type="dxa" w:w="2700"/>
            <w:vAlign w:val="center"/>
          </w:tcPr>
          <w:p>
            <w:pPr>
              <w:pStyle w:val="AurekTable"/>
              <w:jc w:val="left"/>
            </w:pPr>
            <w:r>
              <w:rPr>
                <w:rFonts w:ascii="Calibri" w:hAnsi="Calibri" w:eastAsia="Microsoft YaHei"/>
                <w:sz w:val="18"/>
              </w:rPr>
              <w:t>起点、峰值、终点和标定尺</w:t>
            </w:r>
          </w:p>
        </w:tc>
        <w:tc>
          <w:tcPr>
            <w:tcW w:type="dxa" w:w="3000"/>
            <w:vAlign w:val="center"/>
          </w:tcPr>
          <w:p>
            <w:pPr>
              <w:pStyle w:val="AurekTable"/>
              <w:jc w:val="left"/>
            </w:pPr>
            <w:r>
              <w:rPr>
                <w:rFonts w:ascii="Calibri" w:hAnsi="Calibri" w:eastAsia="Microsoft YaHei"/>
                <w:sz w:val="18"/>
              </w:rPr>
              <w:t>s_UB＝s_meas+U_s≤2.00 mm</w:t>
            </w:r>
          </w:p>
        </w:tc>
      </w:tr>
      <w:tr>
        <w:trPr>
          <w:cantSplit w:val="true"/>
        </w:trPr>
        <w:tc>
          <w:tcPr>
            <w:tcW w:type="dxa" w:w="1500"/>
            <w:shd w:fill="F2F4F7"/>
            <w:vAlign w:val="center"/>
          </w:tcPr>
          <w:p>
            <w:pPr>
              <w:pStyle w:val="AurekTable"/>
              <w:jc w:val="left"/>
            </w:pPr>
            <w:r>
              <w:rPr>
                <w:rFonts w:ascii="Calibri" w:hAnsi="Calibri" w:eastAsia="Microsoft YaHei"/>
                <w:sz w:val="18"/>
              </w:rPr>
              <w:t>支撑力</w:t>
            </w:r>
          </w:p>
        </w:tc>
        <w:tc>
          <w:tcPr>
            <w:tcW w:type="dxa" w:w="2160"/>
            <w:vAlign w:val="center"/>
          </w:tcPr>
          <w:p>
            <w:pPr>
              <w:pStyle w:val="AurekTable"/>
              <w:jc w:val="left"/>
            </w:pPr>
            <w:r>
              <w:rPr>
                <w:rFonts w:ascii="Calibri" w:hAnsi="Calibri" w:eastAsia="Microsoft YaHei"/>
                <w:sz w:val="18"/>
              </w:rPr>
              <w:t>校准测力元件，U_F/F≤2%</w:t>
            </w:r>
          </w:p>
        </w:tc>
        <w:tc>
          <w:tcPr>
            <w:tcW w:type="dxa" w:w="2700"/>
            <w:vAlign w:val="center"/>
          </w:tcPr>
          <w:p>
            <w:pPr>
              <w:pStyle w:val="AurekTable"/>
              <w:jc w:val="left"/>
            </w:pPr>
            <w:r>
              <w:rPr>
                <w:rFonts w:ascii="Calibri" w:hAnsi="Calibri" w:eastAsia="Microsoft YaHei"/>
                <w:sz w:val="18"/>
              </w:rPr>
              <w:t>F_support,meas、U_F和双支撑信号</w:t>
            </w:r>
          </w:p>
        </w:tc>
        <w:tc>
          <w:tcPr>
            <w:tcW w:type="dxa" w:w="3000"/>
            <w:vAlign w:val="center"/>
          </w:tcPr>
          <w:p>
            <w:pPr>
              <w:pStyle w:val="AurekTable"/>
              <w:jc w:val="left"/>
            </w:pPr>
            <w:r>
              <w:rPr>
                <w:rFonts w:ascii="Calibri" w:hAnsi="Calibri" w:eastAsia="Microsoft YaHei"/>
                <w:sz w:val="18"/>
              </w:rPr>
              <w:t>F_support,LB＝F_meas−U_F≥0.95m_UBg并保持500 ms</w:t>
            </w:r>
          </w:p>
        </w:tc>
      </w:tr>
      <w:tr>
        <w:trPr>
          <w:cantSplit w:val="true"/>
        </w:trPr>
        <w:tc>
          <w:tcPr>
            <w:tcW w:type="dxa" w:w="1500"/>
            <w:shd w:fill="F2F4F7"/>
            <w:vAlign w:val="center"/>
          </w:tcPr>
          <w:p>
            <w:pPr>
              <w:pStyle w:val="AurekTable"/>
              <w:jc w:val="left"/>
            </w:pPr>
            <w:r>
              <w:rPr>
                <w:rFonts w:ascii="Calibri" w:hAnsi="Calibri" w:eastAsia="Microsoft YaHei"/>
                <w:sz w:val="18"/>
              </w:rPr>
              <w:t>容积、储气压力与温度</w:t>
            </w:r>
          </w:p>
        </w:tc>
        <w:tc>
          <w:tcPr>
            <w:tcW w:type="dxa" w:w="2160"/>
            <w:vAlign w:val="center"/>
          </w:tcPr>
          <w:p>
            <w:pPr>
              <w:pStyle w:val="AurekTable"/>
              <w:jc w:val="left"/>
            </w:pPr>
            <w:r>
              <w:rPr>
                <w:rFonts w:ascii="Calibri" w:hAnsi="Calibri" w:eastAsia="Microsoft YaHei"/>
                <w:sz w:val="18"/>
              </w:rPr>
              <w:t>容积U_V/V≤2%；压力U_P≤0.005 MPa；温度U_T≤1 K</w:t>
            </w:r>
          </w:p>
        </w:tc>
        <w:tc>
          <w:tcPr>
            <w:tcW w:type="dxa" w:w="2700"/>
            <w:vAlign w:val="center"/>
          </w:tcPr>
          <w:p>
            <w:pPr>
              <w:pStyle w:val="AurekTable"/>
              <w:jc w:val="left"/>
            </w:pPr>
            <w:r>
              <w:rPr>
                <w:rFonts w:ascii="Calibri" w:hAnsi="Calibri" w:eastAsia="Microsoft YaHei"/>
                <w:sz w:val="18"/>
              </w:rPr>
              <w:t>分区/储罐容积、P_1、P_2、T_1及各U值</w:t>
            </w:r>
          </w:p>
        </w:tc>
        <w:tc>
          <w:tcPr>
            <w:tcW w:type="dxa" w:w="3000"/>
            <w:vAlign w:val="center"/>
          </w:tcPr>
          <w:p>
            <w:pPr>
              <w:pStyle w:val="AurekTable"/>
              <w:jc w:val="left"/>
            </w:pPr>
            <w:r>
              <w:rPr>
                <w:rFonts w:ascii="Calibri" w:hAnsi="Calibri" w:eastAsia="Microsoft YaHei"/>
                <w:sz w:val="18"/>
              </w:rPr>
              <w:t>抽空容积取上界；储罐容积/P_1取下界，P_2/T_1取上界</w:t>
            </w:r>
          </w:p>
        </w:tc>
      </w:tr>
      <w:tr>
        <w:trPr>
          <w:cantSplit w:val="true"/>
        </w:trPr>
        <w:tc>
          <w:tcPr>
            <w:tcW w:type="dxa" w:w="1500"/>
            <w:shd w:fill="F2F4F7"/>
            <w:vAlign w:val="center"/>
          </w:tcPr>
          <w:p>
            <w:pPr>
              <w:pStyle w:val="AurekTable"/>
              <w:jc w:val="left"/>
            </w:pPr>
            <w:r>
              <w:rPr>
                <w:rFonts w:ascii="Calibri" w:hAnsi="Calibri" w:eastAsia="Microsoft YaHei"/>
                <w:sz w:val="18"/>
              </w:rPr>
              <w:t>有效面积</w:t>
            </w:r>
          </w:p>
        </w:tc>
        <w:tc>
          <w:tcPr>
            <w:tcW w:type="dxa" w:w="2160"/>
            <w:vAlign w:val="center"/>
          </w:tcPr>
          <w:p>
            <w:pPr>
              <w:pStyle w:val="AurekTable"/>
              <w:jc w:val="left"/>
            </w:pPr>
            <w:r>
              <w:rPr>
                <w:rFonts w:ascii="Calibri" w:hAnsi="Calibri" w:eastAsia="Microsoft YaHei"/>
                <w:sz w:val="18"/>
              </w:rPr>
              <w:t>标定图像或尺寸测量，U_A/A≤2%</w:t>
            </w:r>
          </w:p>
        </w:tc>
        <w:tc>
          <w:tcPr>
            <w:tcW w:type="dxa" w:w="2700"/>
            <w:vAlign w:val="center"/>
          </w:tcPr>
          <w:p>
            <w:pPr>
              <w:pStyle w:val="AurekTable"/>
              <w:jc w:val="left"/>
            </w:pPr>
            <w:r>
              <w:rPr>
                <w:rFonts w:ascii="Calibri" w:hAnsi="Calibri" w:eastAsia="Microsoft YaHei"/>
                <w:sz w:val="18"/>
              </w:rPr>
              <w:t>压缩量、密封内边界和面积</w:t>
            </w:r>
          </w:p>
        </w:tc>
        <w:tc>
          <w:tcPr>
            <w:tcW w:type="dxa" w:w="3000"/>
            <w:vAlign w:val="center"/>
          </w:tcPr>
          <w:p>
            <w:pPr>
              <w:pStyle w:val="AurekTable"/>
              <w:jc w:val="left"/>
            </w:pPr>
            <w:r>
              <w:rPr>
                <w:rFonts w:ascii="Calibri" w:hAnsi="Calibri" w:eastAsia="Microsoft YaHei"/>
                <w:sz w:val="18"/>
              </w:rPr>
              <w:t>计算只用A_eff,LB＝A_meas−U_A</w:t>
            </w:r>
          </w:p>
        </w:tc>
      </w:tr>
      <w:tr>
        <w:trPr>
          <w:cantSplit w:val="true"/>
        </w:trPr>
        <w:tc>
          <w:tcPr>
            <w:tcW w:type="dxa" w:w="1500"/>
            <w:shd w:fill="F2F4F7"/>
            <w:vAlign w:val="center"/>
          </w:tcPr>
          <w:p>
            <w:pPr>
              <w:pStyle w:val="AurekTable"/>
              <w:jc w:val="left"/>
            </w:pPr>
            <w:r>
              <w:rPr>
                <w:rFonts w:ascii="Calibri" w:hAnsi="Calibri" w:eastAsia="Microsoft YaHei"/>
                <w:sz w:val="18"/>
              </w:rPr>
              <w:t>摩擦系数</w:t>
            </w:r>
          </w:p>
        </w:tc>
        <w:tc>
          <w:tcPr>
            <w:tcW w:type="dxa" w:w="2160"/>
            <w:vAlign w:val="center"/>
          </w:tcPr>
          <w:p>
            <w:pPr>
              <w:pStyle w:val="AurekTable"/>
              <w:jc w:val="left"/>
            </w:pPr>
            <w:r>
              <w:rPr>
                <w:rFonts w:ascii="Calibri" w:hAnsi="Calibri" w:eastAsia="Microsoft YaHei"/>
                <w:sz w:val="18"/>
              </w:rPr>
              <w:t>校准测力计，U_μ≤0.02</w:t>
            </w:r>
          </w:p>
        </w:tc>
        <w:tc>
          <w:tcPr>
            <w:tcW w:type="dxa" w:w="2700"/>
            <w:vAlign w:val="center"/>
          </w:tcPr>
          <w:p>
            <w:pPr>
              <w:pStyle w:val="AurekTable"/>
              <w:jc w:val="left"/>
            </w:pPr>
            <w:r>
              <w:rPr>
                <w:rFonts w:ascii="Calibri" w:hAnsi="Calibri" w:eastAsia="Microsoft YaHei"/>
                <w:sz w:val="18"/>
              </w:rPr>
              <w:t>滑移起点力、压差、面积、状态</w:t>
            </w:r>
          </w:p>
        </w:tc>
        <w:tc>
          <w:tcPr>
            <w:tcW w:type="dxa" w:w="3000"/>
            <w:vAlign w:val="center"/>
          </w:tcPr>
          <w:p>
            <w:pPr>
              <w:pStyle w:val="AurekTable"/>
              <w:jc w:val="left"/>
            </w:pPr>
            <w:r>
              <w:rPr>
                <w:rFonts w:ascii="Calibri" w:hAnsi="Calibri" w:eastAsia="Microsoft YaHei"/>
                <w:sz w:val="18"/>
              </w:rPr>
              <w:t>计算只用μ_LB＝min(μ_meas)−U_μ</w:t>
            </w:r>
          </w:p>
        </w:tc>
      </w:tr>
      <w:tr>
        <w:trPr>
          <w:cantSplit w:val="true"/>
        </w:trPr>
        <w:tc>
          <w:tcPr>
            <w:tcW w:type="dxa" w:w="1500"/>
            <w:shd w:fill="F2F4F7"/>
            <w:vAlign w:val="center"/>
          </w:tcPr>
          <w:p>
            <w:pPr>
              <w:pStyle w:val="AurekTable"/>
              <w:jc w:val="left"/>
            </w:pPr>
            <w:r>
              <w:rPr>
                <w:rFonts w:ascii="Calibri" w:hAnsi="Calibri" w:eastAsia="Microsoft YaHei"/>
                <w:sz w:val="18"/>
              </w:rPr>
              <w:t>备用供能</w:t>
            </w:r>
          </w:p>
        </w:tc>
        <w:tc>
          <w:tcPr>
            <w:tcW w:type="dxa" w:w="2160"/>
            <w:vAlign w:val="center"/>
          </w:tcPr>
          <w:p>
            <w:pPr>
              <w:pStyle w:val="AurekTable"/>
              <w:jc w:val="left"/>
            </w:pPr>
            <w:r>
              <w:rPr>
                <w:rFonts w:ascii="Calibri" w:hAnsi="Calibri" w:eastAsia="Microsoft YaHei"/>
                <w:sz w:val="18"/>
              </w:rPr>
              <w:t>压力、流量与1 ms事件时基</w:t>
            </w:r>
          </w:p>
        </w:tc>
        <w:tc>
          <w:tcPr>
            <w:tcW w:type="dxa" w:w="2700"/>
            <w:vAlign w:val="center"/>
          </w:tcPr>
          <w:p>
            <w:pPr>
              <w:pStyle w:val="AurekTable"/>
              <w:jc w:val="left"/>
            </w:pPr>
            <w:r>
              <w:rPr>
                <w:rFonts w:ascii="Calibri" w:hAnsi="Calibri" w:eastAsia="Microsoft YaHei"/>
                <w:sz w:val="18"/>
              </w:rPr>
              <w:t>t_0、t_1、t_2、t_3、最低分区压力</w:t>
            </w:r>
          </w:p>
        </w:tc>
        <w:tc>
          <w:tcPr>
            <w:tcW w:type="dxa" w:w="3000"/>
            <w:vAlign w:val="center"/>
          </w:tcPr>
          <w:p>
            <w:pPr>
              <w:pStyle w:val="AurekTable"/>
              <w:jc w:val="left"/>
            </w:pPr>
            <w:r>
              <w:rPr>
                <w:rFonts w:ascii="Calibri" w:hAnsi="Calibri" w:eastAsia="Microsoft YaHei"/>
                <w:sz w:val="18"/>
              </w:rPr>
              <w:t>≤0.10 s、≤0.50 s、≤4.00 s且健康区Δp_LB≥45 kPa</w:t>
            </w:r>
          </w:p>
        </w:tc>
      </w:tr>
    </w:tbl>
    <w:p>
      <w:pPr>
        <w:spacing w:after="40"/>
      </w:pPr>
    </w:p>
    <w:p>
      <w:pPr/>
      <w:r>
        <w:rPr>
          <w:rFonts w:ascii="Calibri" w:hAnsi="Calibri" w:eastAsia="Microsoft YaHei"/>
          <w:sz w:val="22"/>
        </w:rPr>
        <w:t>压力许可始终使用下界。U_p/p＝2%时，50 kPa下界对应示值至少51.02 kPa，45 kPa下界对应示值至少45.92 kPa。采样时钟差必须≤10 ms。压力开关只有开关量时，必须增加可记录模拟压力；没有原始曲线只有成功/失败位，R10不通过。</w:t>
      </w:r>
    </w:p>
    <w:p>
      <w:pPr/>
      <w:r>
        <w:rPr>
          <w:rFonts w:ascii="Calibri" w:hAnsi="Calibri" w:eastAsia="Microsoft YaHei"/>
          <w:sz w:val="22"/>
        </w:rPr>
        <w:t>释放窗口固定为0≤Δp_UB≤5 kPa并连续500 ms。阀动作后300 ms内模拟压力变化＜0.50 kPa，或连续30 ms没有新样本，判为信号卡滞；开关量与模拟量矛盾超过50 ms，判为诊断故障。</w:t>
      </w:r>
    </w:p>
    <w:p>
      <w:pPr/>
      <w:r>
        <w:rPr>
          <w:rFonts w:ascii="Calibri" w:hAnsi="Calibri" w:eastAsia="Microsoft YaHei"/>
          <w:sz w:val="22"/>
        </w:rPr>
        <w:t>原始数据不得只存图片。每条曲线必须保存时间戳、分区号、样本号、批次号、落点编号、压力、流量、加速度、阀状态和许可状态，单位写入字段名或元数据。数据处理脚本和参数一并归档，计算输出能反向定位原始行。剔除数据只允许用于仪器明确失效，且剔除原因、故障证据和重测记录必须并存；以“异常值”为由删除高泄漏或慢建立循环，R10 直接不通过。</w:t>
      </w:r>
    </w:p>
    <w:p>
      <w:pPr>
        <w:pStyle w:val="Heading1"/>
      </w:pPr>
      <w:r>
        <w:rPr>
          <w:rFonts w:ascii="Calibri" w:hAnsi="Calibri" w:eastAsia="Microsoft YaHei"/>
        </w:rPr>
        <w:t>09 FMEA 驱动的故障注入矩阵</w:t>
      </w:r>
    </w:p>
    <w:p>
      <w:pPr/>
      <w:r>
        <w:rPr>
          <w:rFonts w:ascii="Calibri" w:hAnsi="Calibri" w:eastAsia="Microsoft YaHei"/>
          <w:sz w:val="22"/>
        </w:rPr>
        <w:t>本章把 FMEA 识别出的失效模式转化为可重复故障注入，不用低发生率删除故障。每次注入均使用18 kg质量上界、E10污染/寿命状态和1.20 m故障路径；FAT与SAT分别执行全表数量。非供能故障以 t_F 表示物理注入时刻，故障确认门为 t_2−t_F≤0.50 s；主供能故障继续使用第07章 t_0～t_3。</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300"/>
        <w:gridCol w:w="1760"/>
        <w:gridCol w:w="2060"/>
        <w:gridCol w:w="2120"/>
        <w:gridCol w:w="2120"/>
      </w:tblGrid>
      <w:tr>
        <w:trPr>
          <w:cantSplit w:val="true"/>
          <w:tblHeader w:val="true"/>
        </w:trPr>
        <w:tc>
          <w:tcPr>
            <w:tcW w:type="dxa" w:w="1300"/>
            <w:shd w:fill="2E74B5"/>
            <w:vAlign w:val="center"/>
          </w:tcPr>
          <w:p>
            <w:pPr>
              <w:pStyle w:val="AurekTable"/>
              <w:keepNext/>
              <w:keepLines/>
              <w:jc w:val="center"/>
            </w:pPr>
            <w:r>
              <w:rPr>
                <w:rFonts w:ascii="Calibri" w:hAnsi="Calibri" w:eastAsia="Microsoft YaHei"/>
                <w:b/>
                <w:color w:val="FFFFFF"/>
                <w:sz w:val="18"/>
              </w:rPr>
              <w:t>失效模式</w:t>
            </w:r>
          </w:p>
        </w:tc>
        <w:tc>
          <w:tcPr>
            <w:tcW w:type="dxa" w:w="1760"/>
            <w:shd w:fill="2E74B5"/>
            <w:vAlign w:val="center"/>
          </w:tcPr>
          <w:p>
            <w:pPr>
              <w:pStyle w:val="AurekTable"/>
              <w:keepNext/>
              <w:keepLines/>
              <w:jc w:val="center"/>
            </w:pPr>
            <w:r>
              <w:rPr>
                <w:rFonts w:ascii="Calibri" w:hAnsi="Calibri" w:eastAsia="Microsoft YaHei"/>
                <w:b/>
                <w:color w:val="FFFFFF"/>
                <w:sz w:val="18"/>
              </w:rPr>
              <w:t>注入方法</w:t>
            </w:r>
          </w:p>
        </w:tc>
        <w:tc>
          <w:tcPr>
            <w:tcW w:type="dxa" w:w="2060"/>
            <w:shd w:fill="2E74B5"/>
            <w:vAlign w:val="center"/>
          </w:tcPr>
          <w:p>
            <w:pPr>
              <w:pStyle w:val="AurekTable"/>
              <w:keepNext/>
              <w:keepLines/>
              <w:jc w:val="center"/>
            </w:pPr>
            <w:r>
              <w:rPr>
                <w:rFonts w:ascii="Calibri" w:hAnsi="Calibri" w:eastAsia="Microsoft YaHei"/>
                <w:b/>
                <w:color w:val="FFFFFF"/>
                <w:sz w:val="18"/>
              </w:rPr>
              <w:t>每阶段次数</w:t>
            </w:r>
          </w:p>
        </w:tc>
        <w:tc>
          <w:tcPr>
            <w:tcW w:type="dxa" w:w="2120"/>
            <w:shd w:fill="2E74B5"/>
            <w:vAlign w:val="center"/>
          </w:tcPr>
          <w:p>
            <w:pPr>
              <w:pStyle w:val="AurekTable"/>
              <w:keepNext/>
              <w:keepLines/>
              <w:jc w:val="center"/>
            </w:pPr>
            <w:r>
              <w:rPr>
                <w:rFonts w:ascii="Calibri" w:hAnsi="Calibri" w:eastAsia="Microsoft YaHei"/>
                <w:b/>
                <w:color w:val="FFFFFF"/>
                <w:sz w:val="18"/>
              </w:rPr>
              <w:t>必须发生的控制动作</w:t>
            </w:r>
          </w:p>
        </w:tc>
        <w:tc>
          <w:tcPr>
            <w:tcW w:type="dxa" w:w="2120"/>
            <w:shd w:fill="2E74B5"/>
            <w:vAlign w:val="center"/>
          </w:tcPr>
          <w:p>
            <w:pPr>
              <w:pStyle w:val="AurekTable"/>
              <w:keepNext/>
              <w:keepLines/>
              <w:jc w:val="center"/>
            </w:pPr>
            <w:r>
              <w:rPr>
                <w:rFonts w:ascii="Calibri" w:hAnsi="Calibri" w:eastAsia="Microsoft YaHei"/>
                <w:b/>
                <w:color w:val="FFFFFF"/>
                <w:sz w:val="18"/>
              </w:rPr>
              <w:t>通过标准</w:t>
            </w:r>
          </w:p>
        </w:tc>
      </w:tr>
      <w:tr>
        <w:trPr>
          <w:cantSplit w:val="true"/>
        </w:trPr>
        <w:tc>
          <w:tcPr>
            <w:tcW w:type="dxa" w:w="1300"/>
            <w:shd w:fill="F2F4F7"/>
            <w:vAlign w:val="center"/>
          </w:tcPr>
          <w:p>
            <w:pPr>
              <w:pStyle w:val="AurekTable"/>
              <w:jc w:val="left"/>
            </w:pPr>
            <w:r>
              <w:rPr>
                <w:rFonts w:ascii="Calibri" w:hAnsi="Calibri" w:eastAsia="Microsoft YaHei"/>
                <w:sz w:val="18"/>
              </w:rPr>
              <w:t>单吸盘未覆盖</w:t>
            </w:r>
          </w:p>
        </w:tc>
        <w:tc>
          <w:tcPr>
            <w:tcW w:type="dxa" w:w="1760"/>
            <w:vAlign w:val="center"/>
          </w:tcPr>
          <w:p>
            <w:pPr>
              <w:pStyle w:val="AurekTable"/>
              <w:jc w:val="left"/>
            </w:pPr>
            <w:r>
              <w:rPr>
                <w:rFonts w:ascii="Calibri" w:hAnsi="Calibri" w:eastAsia="Microsoft YaHei"/>
                <w:sz w:val="18"/>
              </w:rPr>
              <w:t>每杯设置6.0 mm校准开口</w:t>
            </w:r>
          </w:p>
        </w:tc>
        <w:tc>
          <w:tcPr>
            <w:tcW w:type="dxa" w:w="2060"/>
            <w:vAlign w:val="center"/>
          </w:tcPr>
          <w:p>
            <w:pPr>
              <w:pStyle w:val="AurekTable"/>
              <w:jc w:val="left"/>
            </w:pPr>
            <w:r>
              <w:rPr>
                <w:rFonts w:ascii="Calibri" w:hAnsi="Calibri" w:eastAsia="Microsoft YaHei"/>
                <w:sz w:val="18"/>
              </w:rPr>
              <w:t>8杯×10＝80</w:t>
            </w:r>
          </w:p>
        </w:tc>
        <w:tc>
          <w:tcPr>
            <w:tcW w:type="dxa" w:w="2120"/>
            <w:vAlign w:val="center"/>
          </w:tcPr>
          <w:p>
            <w:pPr>
              <w:pStyle w:val="AurekTable"/>
              <w:jc w:val="left"/>
            </w:pPr>
            <w:r>
              <w:rPr>
                <w:rFonts w:ascii="Calibri" w:hAnsi="Calibri" w:eastAsia="Microsoft YaHei"/>
                <w:sz w:val="18"/>
              </w:rPr>
              <w:t>对应区报警并执行S1落位</w:t>
            </w:r>
          </w:p>
        </w:tc>
        <w:tc>
          <w:tcPr>
            <w:tcW w:type="dxa" w:w="2120"/>
            <w:vAlign w:val="center"/>
          </w:tcPr>
          <w:p>
            <w:pPr>
              <w:pStyle w:val="AurekTable"/>
              <w:jc w:val="left"/>
            </w:pPr>
            <w:r>
              <w:rPr>
                <w:rFonts w:ascii="Calibri" w:hAnsi="Calibri" w:eastAsia="Microsoft YaHei"/>
                <w:sz w:val="18"/>
              </w:rPr>
              <w:t>健康区Δp_LB≥45 kPa，t_2−t_F≤0.50 s，t_3−t_2≤4.00 s</w:t>
            </w:r>
          </w:p>
        </w:tc>
      </w:tr>
      <w:tr>
        <w:trPr>
          <w:cantSplit w:val="true"/>
        </w:trPr>
        <w:tc>
          <w:tcPr>
            <w:tcW w:type="dxa" w:w="1300"/>
            <w:shd w:fill="F2F4F7"/>
            <w:vAlign w:val="center"/>
          </w:tcPr>
          <w:p>
            <w:pPr>
              <w:pStyle w:val="AurekTable"/>
              <w:jc w:val="left"/>
            </w:pPr>
            <w:r>
              <w:rPr>
                <w:rFonts w:ascii="Calibri" w:hAnsi="Calibri" w:eastAsia="Microsoft YaHei"/>
                <w:sz w:val="18"/>
              </w:rPr>
              <w:t>单分区管路断开</w:t>
            </w:r>
          </w:p>
        </w:tc>
        <w:tc>
          <w:tcPr>
            <w:tcW w:type="dxa" w:w="1760"/>
            <w:vAlign w:val="center"/>
          </w:tcPr>
          <w:p>
            <w:pPr>
              <w:pStyle w:val="AurekTable"/>
              <w:jc w:val="left"/>
            </w:pPr>
            <w:r>
              <w:rPr>
                <w:rFonts w:ascii="Calibri" w:hAnsi="Calibri" w:eastAsia="Microsoft YaHei"/>
                <w:sz w:val="18"/>
              </w:rPr>
              <w:t>每区快断接头完全断开</w:t>
            </w:r>
          </w:p>
        </w:tc>
        <w:tc>
          <w:tcPr>
            <w:tcW w:type="dxa" w:w="2060"/>
            <w:vAlign w:val="center"/>
          </w:tcPr>
          <w:p>
            <w:pPr>
              <w:pStyle w:val="AurekTable"/>
              <w:jc w:val="left"/>
            </w:pPr>
            <w:r>
              <w:rPr>
                <w:rFonts w:ascii="Calibri" w:hAnsi="Calibri" w:eastAsia="Microsoft YaHei"/>
                <w:sz w:val="18"/>
              </w:rPr>
              <w:t>4区×10＝40</w:t>
            </w:r>
          </w:p>
        </w:tc>
        <w:tc>
          <w:tcPr>
            <w:tcW w:type="dxa" w:w="2120"/>
            <w:vAlign w:val="center"/>
          </w:tcPr>
          <w:p>
            <w:pPr>
              <w:pStyle w:val="AurekTable"/>
              <w:jc w:val="left"/>
            </w:pPr>
            <w:r>
              <w:rPr>
                <w:rFonts w:ascii="Calibri" w:hAnsi="Calibri" w:eastAsia="Microsoft YaHei"/>
                <w:sz w:val="18"/>
              </w:rPr>
              <w:t>故障区隔离并执行S1落位</w:t>
            </w:r>
          </w:p>
        </w:tc>
        <w:tc>
          <w:tcPr>
            <w:tcW w:type="dxa" w:w="2120"/>
            <w:vAlign w:val="center"/>
          </w:tcPr>
          <w:p>
            <w:pPr>
              <w:pStyle w:val="AurekTable"/>
              <w:jc w:val="left"/>
            </w:pPr>
            <w:r>
              <w:rPr>
                <w:rFonts w:ascii="Calibri" w:hAnsi="Calibri" w:eastAsia="Microsoft YaHei"/>
                <w:sz w:val="18"/>
              </w:rPr>
              <w:t>全部40次满足时间、压力、加速度和滑移门</w:t>
            </w:r>
          </w:p>
        </w:tc>
      </w:tr>
      <w:tr>
        <w:trPr>
          <w:cantSplit w:val="true"/>
        </w:trPr>
        <w:tc>
          <w:tcPr>
            <w:tcW w:type="dxa" w:w="1300"/>
            <w:shd w:fill="F2F4F7"/>
            <w:vAlign w:val="center"/>
          </w:tcPr>
          <w:p>
            <w:pPr>
              <w:pStyle w:val="AurekTable"/>
              <w:jc w:val="left"/>
            </w:pPr>
            <w:r>
              <w:rPr>
                <w:rFonts w:ascii="Calibri" w:hAnsi="Calibri" w:eastAsia="Microsoft YaHei"/>
                <w:sz w:val="18"/>
              </w:rPr>
              <w:t>止回阀卡开</w:t>
            </w:r>
          </w:p>
        </w:tc>
        <w:tc>
          <w:tcPr>
            <w:tcW w:type="dxa" w:w="1760"/>
            <w:vAlign w:val="center"/>
          </w:tcPr>
          <w:p>
            <w:pPr>
              <w:pStyle w:val="AurekTable"/>
              <w:jc w:val="left"/>
            </w:pPr>
            <w:r>
              <w:rPr>
                <w:rFonts w:ascii="Calibri" w:hAnsi="Calibri" w:eastAsia="Microsoft YaHei"/>
                <w:sz w:val="18"/>
              </w:rPr>
              <w:t>每区旁通止回阀形成全开通路</w:t>
            </w:r>
          </w:p>
        </w:tc>
        <w:tc>
          <w:tcPr>
            <w:tcW w:type="dxa" w:w="2060"/>
            <w:vAlign w:val="center"/>
          </w:tcPr>
          <w:p>
            <w:pPr>
              <w:pStyle w:val="AurekTable"/>
              <w:jc w:val="left"/>
            </w:pPr>
            <w:r>
              <w:rPr>
                <w:rFonts w:ascii="Calibri" w:hAnsi="Calibri" w:eastAsia="Microsoft YaHei"/>
                <w:sz w:val="18"/>
              </w:rPr>
              <w:t>4区×10＝40</w:t>
            </w:r>
          </w:p>
        </w:tc>
        <w:tc>
          <w:tcPr>
            <w:tcW w:type="dxa" w:w="2120"/>
            <w:vAlign w:val="center"/>
          </w:tcPr>
          <w:p>
            <w:pPr>
              <w:pStyle w:val="AurekTable"/>
              <w:jc w:val="left"/>
            </w:pPr>
            <w:r>
              <w:rPr>
                <w:rFonts w:ascii="Calibri" w:hAnsi="Calibri" w:eastAsia="Microsoft YaHei"/>
                <w:sz w:val="18"/>
              </w:rPr>
              <w:t>健康区独立诊断并执行S1落位</w:t>
            </w:r>
          </w:p>
        </w:tc>
        <w:tc>
          <w:tcPr>
            <w:tcW w:type="dxa" w:w="2120"/>
            <w:vAlign w:val="center"/>
          </w:tcPr>
          <w:p>
            <w:pPr>
              <w:pStyle w:val="AurekTable"/>
              <w:jc w:val="left"/>
            </w:pPr>
            <w:r>
              <w:rPr>
                <w:rFonts w:ascii="Calibri" w:hAnsi="Calibri" w:eastAsia="Microsoft YaHei"/>
                <w:sz w:val="18"/>
              </w:rPr>
              <w:t>任一健康区Δp_LB＜45 kPa即整项失败</w:t>
            </w:r>
          </w:p>
        </w:tc>
      </w:tr>
      <w:tr>
        <w:trPr>
          <w:cantSplit w:val="true"/>
        </w:trPr>
        <w:tc>
          <w:tcPr>
            <w:tcW w:type="dxa" w:w="1300"/>
            <w:shd w:fill="F2F4F7"/>
            <w:vAlign w:val="center"/>
          </w:tcPr>
          <w:p>
            <w:pPr>
              <w:pStyle w:val="AurekTable"/>
              <w:jc w:val="left"/>
            </w:pPr>
            <w:r>
              <w:rPr>
                <w:rFonts w:ascii="Calibri" w:hAnsi="Calibri" w:eastAsia="Microsoft YaHei"/>
                <w:sz w:val="18"/>
              </w:rPr>
              <w:t>压力传感器卡高</w:t>
            </w:r>
          </w:p>
        </w:tc>
        <w:tc>
          <w:tcPr>
            <w:tcW w:type="dxa" w:w="1760"/>
            <w:vAlign w:val="center"/>
          </w:tcPr>
          <w:p>
            <w:pPr>
              <w:pStyle w:val="AurekTable"/>
              <w:jc w:val="left"/>
            </w:pPr>
            <w:r>
              <w:rPr>
                <w:rFonts w:ascii="Calibri" w:hAnsi="Calibri" w:eastAsia="Microsoft YaHei"/>
                <w:sz w:val="18"/>
              </w:rPr>
              <w:t>每通道注入满量程高电平；提升前5次、运动中5次</w:t>
            </w:r>
          </w:p>
        </w:tc>
        <w:tc>
          <w:tcPr>
            <w:tcW w:type="dxa" w:w="2060"/>
            <w:vAlign w:val="center"/>
          </w:tcPr>
          <w:p>
            <w:pPr>
              <w:pStyle w:val="AurekTable"/>
              <w:jc w:val="left"/>
            </w:pPr>
            <w:r>
              <w:rPr>
                <w:rFonts w:ascii="Calibri" w:hAnsi="Calibri" w:eastAsia="Microsoft YaHei"/>
                <w:sz w:val="18"/>
              </w:rPr>
              <w:t>4通道×10＝40</w:t>
            </w:r>
          </w:p>
        </w:tc>
        <w:tc>
          <w:tcPr>
            <w:tcW w:type="dxa" w:w="2120"/>
            <w:vAlign w:val="center"/>
          </w:tcPr>
          <w:p>
            <w:pPr>
              <w:pStyle w:val="AurekTable"/>
              <w:jc w:val="left"/>
            </w:pPr>
            <w:r>
              <w:rPr>
                <w:rFonts w:ascii="Calibri" w:hAnsi="Calibri" w:eastAsia="Microsoft YaHei"/>
                <w:sz w:val="18"/>
              </w:rPr>
              <w:t>提升前禁止许可；运动中执行S1落位</w:t>
            </w:r>
          </w:p>
        </w:tc>
        <w:tc>
          <w:tcPr>
            <w:tcW w:type="dxa" w:w="2120"/>
            <w:vAlign w:val="center"/>
          </w:tcPr>
          <w:p>
            <w:pPr>
              <w:pStyle w:val="AurekTable"/>
              <w:jc w:val="left"/>
            </w:pPr>
            <w:r>
              <w:rPr>
                <w:rFonts w:ascii="Calibri" w:hAnsi="Calibri" w:eastAsia="Microsoft YaHei"/>
                <w:sz w:val="18"/>
              </w:rPr>
              <w:t>不产生错误Lift_Enable，运动中满足t_2、t_3门</w:t>
            </w:r>
          </w:p>
        </w:tc>
      </w:tr>
      <w:tr>
        <w:trPr>
          <w:cantSplit w:val="true"/>
        </w:trPr>
        <w:tc>
          <w:tcPr>
            <w:tcW w:type="dxa" w:w="1300"/>
            <w:shd w:fill="F2F4F7"/>
            <w:vAlign w:val="center"/>
          </w:tcPr>
          <w:p>
            <w:pPr>
              <w:pStyle w:val="AurekTable"/>
              <w:jc w:val="left"/>
            </w:pPr>
            <w:r>
              <w:rPr>
                <w:rFonts w:ascii="Calibri" w:hAnsi="Calibri" w:eastAsia="Microsoft YaHei"/>
                <w:sz w:val="18"/>
              </w:rPr>
              <w:t>压力传感器卡低</w:t>
            </w:r>
          </w:p>
        </w:tc>
        <w:tc>
          <w:tcPr>
            <w:tcW w:type="dxa" w:w="1760"/>
            <w:vAlign w:val="center"/>
          </w:tcPr>
          <w:p>
            <w:pPr>
              <w:pStyle w:val="AurekTable"/>
              <w:jc w:val="left"/>
            </w:pPr>
            <w:r>
              <w:rPr>
                <w:rFonts w:ascii="Calibri" w:hAnsi="Calibri" w:eastAsia="Microsoft YaHei"/>
                <w:sz w:val="18"/>
              </w:rPr>
              <w:t>每通道注入0 kPa信号；提升前5次、运动中5次</w:t>
            </w:r>
          </w:p>
        </w:tc>
        <w:tc>
          <w:tcPr>
            <w:tcW w:type="dxa" w:w="2060"/>
            <w:vAlign w:val="center"/>
          </w:tcPr>
          <w:p>
            <w:pPr>
              <w:pStyle w:val="AurekTable"/>
              <w:jc w:val="left"/>
            </w:pPr>
            <w:r>
              <w:rPr>
                <w:rFonts w:ascii="Calibri" w:hAnsi="Calibri" w:eastAsia="Microsoft YaHei"/>
                <w:sz w:val="18"/>
              </w:rPr>
              <w:t>4通道×10＝40</w:t>
            </w:r>
          </w:p>
        </w:tc>
        <w:tc>
          <w:tcPr>
            <w:tcW w:type="dxa" w:w="2120"/>
            <w:vAlign w:val="center"/>
          </w:tcPr>
          <w:p>
            <w:pPr>
              <w:pStyle w:val="AurekTable"/>
              <w:jc w:val="left"/>
            </w:pPr>
            <w:r>
              <w:rPr>
                <w:rFonts w:ascii="Calibri" w:hAnsi="Calibri" w:eastAsia="Microsoft YaHei"/>
                <w:sz w:val="18"/>
              </w:rPr>
              <w:t>提升前锁止；运动中执行S1落位</w:t>
            </w:r>
          </w:p>
        </w:tc>
        <w:tc>
          <w:tcPr>
            <w:tcW w:type="dxa" w:w="2120"/>
            <w:vAlign w:val="center"/>
          </w:tcPr>
          <w:p>
            <w:pPr>
              <w:pStyle w:val="AurekTable"/>
              <w:jc w:val="left"/>
            </w:pPr>
            <w:r>
              <w:rPr>
                <w:rFonts w:ascii="Calibri" w:hAnsi="Calibri" w:eastAsia="Microsoft YaHei"/>
                <w:sz w:val="18"/>
              </w:rPr>
              <w:t>不得旁路运行，健康区压力保持合格</w:t>
            </w:r>
          </w:p>
        </w:tc>
      </w:tr>
      <w:tr>
        <w:trPr>
          <w:cantSplit w:val="true"/>
        </w:trPr>
        <w:tc>
          <w:tcPr>
            <w:tcW w:type="dxa" w:w="1300"/>
            <w:shd w:fill="F2F4F7"/>
            <w:vAlign w:val="center"/>
          </w:tcPr>
          <w:p>
            <w:pPr>
              <w:pStyle w:val="AurekTable"/>
              <w:jc w:val="left"/>
            </w:pPr>
            <w:r>
              <w:rPr>
                <w:rFonts w:ascii="Calibri" w:hAnsi="Calibri" w:eastAsia="Microsoft YaHei"/>
                <w:sz w:val="18"/>
              </w:rPr>
              <w:t>主压缩空气切断</w:t>
            </w:r>
          </w:p>
        </w:tc>
        <w:tc>
          <w:tcPr>
            <w:tcW w:type="dxa" w:w="1760"/>
            <w:vAlign w:val="center"/>
          </w:tcPr>
          <w:p>
            <w:pPr>
              <w:pStyle w:val="AurekTable"/>
              <w:jc w:val="left"/>
            </w:pPr>
            <w:r>
              <w:rPr>
                <w:rFonts w:ascii="Calibri" w:hAnsi="Calibri" w:eastAsia="Microsoft YaHei"/>
                <w:sz w:val="18"/>
              </w:rPr>
              <w:t>距S1路径1.20 m处关闭主阀</w:t>
            </w:r>
          </w:p>
        </w:tc>
        <w:tc>
          <w:tcPr>
            <w:tcW w:type="dxa" w:w="2060"/>
            <w:vAlign w:val="center"/>
          </w:tcPr>
          <w:p>
            <w:pPr>
              <w:pStyle w:val="AurekTable"/>
              <w:jc w:val="left"/>
            </w:pPr>
            <w:r>
              <w:rPr>
                <w:rFonts w:ascii="Calibri" w:hAnsi="Calibri" w:eastAsia="Microsoft YaHei"/>
                <w:sz w:val="18"/>
              </w:rPr>
              <w:t>10</w:t>
            </w:r>
          </w:p>
        </w:tc>
        <w:tc>
          <w:tcPr>
            <w:tcW w:type="dxa" w:w="2120"/>
            <w:vAlign w:val="center"/>
          </w:tcPr>
          <w:p>
            <w:pPr>
              <w:pStyle w:val="AurekTable"/>
              <w:jc w:val="left"/>
            </w:pPr>
            <w:r>
              <w:rPr>
                <w:rFonts w:ascii="Calibri" w:hAnsi="Calibri" w:eastAsia="Microsoft YaHei"/>
                <w:sz w:val="18"/>
              </w:rPr>
              <w:t>t_1、t_2后执行S1落位</w:t>
            </w:r>
          </w:p>
        </w:tc>
        <w:tc>
          <w:tcPr>
            <w:tcW w:type="dxa" w:w="2120"/>
            <w:vAlign w:val="center"/>
          </w:tcPr>
          <w:p>
            <w:pPr>
              <w:pStyle w:val="AurekTable"/>
              <w:jc w:val="left"/>
            </w:pPr>
            <w:r>
              <w:rPr>
                <w:rFonts w:ascii="Calibri" w:hAnsi="Calibri" w:eastAsia="Microsoft YaHei"/>
                <w:sz w:val="18"/>
              </w:rPr>
              <w:t>t_1−t_0≤0.10 s，t_2−t_0≤0.50 s，t_3−t_2≤4.00 s</w:t>
            </w:r>
          </w:p>
        </w:tc>
      </w:tr>
      <w:tr>
        <w:trPr>
          <w:cantSplit w:val="true"/>
        </w:trPr>
        <w:tc>
          <w:tcPr>
            <w:tcW w:type="dxa" w:w="1300"/>
            <w:shd w:fill="F2F4F7"/>
            <w:vAlign w:val="center"/>
          </w:tcPr>
          <w:p>
            <w:pPr>
              <w:pStyle w:val="AurekTable"/>
              <w:jc w:val="left"/>
            </w:pPr>
            <w:r>
              <w:rPr>
                <w:rFonts w:ascii="Calibri" w:hAnsi="Calibri" w:eastAsia="Microsoft YaHei"/>
                <w:sz w:val="18"/>
              </w:rPr>
              <w:t>备用储备低压</w:t>
            </w:r>
          </w:p>
        </w:tc>
        <w:tc>
          <w:tcPr>
            <w:tcW w:type="dxa" w:w="1760"/>
            <w:vAlign w:val="center"/>
          </w:tcPr>
          <w:p>
            <w:pPr>
              <w:pStyle w:val="AurekTable"/>
              <w:jc w:val="left"/>
            </w:pPr>
            <w:r>
              <w:rPr>
                <w:rFonts w:ascii="Calibri" w:hAnsi="Calibri" w:eastAsia="Microsoft YaHei"/>
                <w:sz w:val="18"/>
              </w:rPr>
              <w:t>起始表压固定为0.39 MPa</w:t>
            </w:r>
          </w:p>
        </w:tc>
        <w:tc>
          <w:tcPr>
            <w:tcW w:type="dxa" w:w="2060"/>
            <w:vAlign w:val="center"/>
          </w:tcPr>
          <w:p>
            <w:pPr>
              <w:pStyle w:val="AurekTable"/>
              <w:jc w:val="left"/>
            </w:pPr>
            <w:r>
              <w:rPr>
                <w:rFonts w:ascii="Calibri" w:hAnsi="Calibri" w:eastAsia="Microsoft YaHei"/>
                <w:sz w:val="18"/>
              </w:rPr>
              <w:t>10</w:t>
            </w:r>
          </w:p>
        </w:tc>
        <w:tc>
          <w:tcPr>
            <w:tcW w:type="dxa" w:w="2120"/>
            <w:vAlign w:val="center"/>
          </w:tcPr>
          <w:p>
            <w:pPr>
              <w:pStyle w:val="AurekTable"/>
              <w:jc w:val="left"/>
            </w:pPr>
            <w:r>
              <w:rPr>
                <w:rFonts w:ascii="Calibri" w:hAnsi="Calibri" w:eastAsia="Microsoft YaHei"/>
                <w:sz w:val="18"/>
              </w:rPr>
              <w:t>起动前锁止</w:t>
            </w:r>
          </w:p>
        </w:tc>
        <w:tc>
          <w:tcPr>
            <w:tcW w:type="dxa" w:w="2120"/>
            <w:vAlign w:val="center"/>
          </w:tcPr>
          <w:p>
            <w:pPr>
              <w:pStyle w:val="AurekTable"/>
              <w:jc w:val="left"/>
            </w:pPr>
            <w:r>
              <w:rPr>
                <w:rFonts w:ascii="Calibri" w:hAnsi="Calibri" w:eastAsia="Microsoft YaHei"/>
                <w:sz w:val="18"/>
              </w:rPr>
              <w:t>10/10不得产生Lift_Enable</w:t>
            </w:r>
          </w:p>
        </w:tc>
      </w:tr>
      <w:tr>
        <w:trPr>
          <w:cantSplit w:val="true"/>
        </w:trPr>
        <w:tc>
          <w:tcPr>
            <w:tcW w:type="dxa" w:w="1300"/>
            <w:shd w:fill="F2F4F7"/>
            <w:vAlign w:val="center"/>
          </w:tcPr>
          <w:p>
            <w:pPr>
              <w:pStyle w:val="AurekTable"/>
              <w:jc w:val="left"/>
            </w:pPr>
            <w:r>
              <w:rPr>
                <w:rFonts w:ascii="Calibri" w:hAnsi="Calibri" w:eastAsia="Microsoft YaHei"/>
                <w:sz w:val="18"/>
              </w:rPr>
              <w:t>纸箱局部塌陷</w:t>
            </w:r>
          </w:p>
        </w:tc>
        <w:tc>
          <w:tcPr>
            <w:tcW w:type="dxa" w:w="1760"/>
            <w:vAlign w:val="center"/>
          </w:tcPr>
          <w:p>
            <w:pPr>
              <w:pStyle w:val="AurekTable"/>
              <w:jc w:val="left"/>
            </w:pPr>
            <w:r>
              <w:rPr>
                <w:rFonts w:ascii="Calibri" w:hAnsi="Calibri" w:eastAsia="Microsoft YaHei"/>
                <w:sz w:val="18"/>
              </w:rPr>
              <w:t>吸附区预制直径30 mm、深5.0 mm凹陷</w:t>
            </w:r>
          </w:p>
        </w:tc>
        <w:tc>
          <w:tcPr>
            <w:tcW w:type="dxa" w:w="2060"/>
            <w:vAlign w:val="center"/>
          </w:tcPr>
          <w:p>
            <w:pPr>
              <w:pStyle w:val="AurekTable"/>
              <w:jc w:val="left"/>
            </w:pPr>
            <w:r>
              <w:rPr>
                <w:rFonts w:ascii="Calibri" w:hAnsi="Calibri" w:eastAsia="Microsoft YaHei"/>
                <w:sz w:val="18"/>
              </w:rPr>
              <w:t>10</w:t>
            </w:r>
          </w:p>
        </w:tc>
        <w:tc>
          <w:tcPr>
            <w:tcW w:type="dxa" w:w="2120"/>
            <w:vAlign w:val="center"/>
          </w:tcPr>
          <w:p>
            <w:pPr>
              <w:pStyle w:val="AurekTable"/>
              <w:jc w:val="left"/>
            </w:pPr>
            <w:r>
              <w:rPr>
                <w:rFonts w:ascii="Calibri" w:hAnsi="Calibri" w:eastAsia="Microsoft YaHei"/>
                <w:sz w:val="18"/>
              </w:rPr>
              <w:t>压力故障后执行S1落位</w:t>
            </w:r>
          </w:p>
        </w:tc>
        <w:tc>
          <w:tcPr>
            <w:tcW w:type="dxa" w:w="2120"/>
            <w:vAlign w:val="center"/>
          </w:tcPr>
          <w:p>
            <w:pPr>
              <w:pStyle w:val="AurekTable"/>
              <w:jc w:val="left"/>
            </w:pPr>
            <w:r>
              <w:rPr>
                <w:rFonts w:ascii="Calibri" w:hAnsi="Calibri" w:eastAsia="Microsoft YaHei"/>
                <w:sz w:val="18"/>
              </w:rPr>
              <w:t>无撕裂、无跌落，s_UB≤2.00 mm</w:t>
            </w:r>
          </w:p>
        </w:tc>
      </w:tr>
      <w:tr>
        <w:trPr>
          <w:cantSplit w:val="true"/>
        </w:trPr>
        <w:tc>
          <w:tcPr>
            <w:tcW w:type="dxa" w:w="1300"/>
            <w:shd w:fill="F2F4F7"/>
            <w:vAlign w:val="center"/>
          </w:tcPr>
          <w:p>
            <w:pPr>
              <w:pStyle w:val="AurekTable"/>
              <w:jc w:val="left"/>
            </w:pPr>
            <w:r>
              <w:rPr>
                <w:rFonts w:ascii="Calibri" w:hAnsi="Calibri" w:eastAsia="Microsoft YaHei"/>
                <w:sz w:val="18"/>
              </w:rPr>
              <w:t>软件定时器提前</w:t>
            </w:r>
          </w:p>
        </w:tc>
        <w:tc>
          <w:tcPr>
            <w:tcW w:type="dxa" w:w="1760"/>
            <w:vAlign w:val="center"/>
          </w:tcPr>
          <w:p>
            <w:pPr>
              <w:pStyle w:val="AurekTable"/>
              <w:jc w:val="left"/>
            </w:pPr>
            <w:r>
              <w:rPr>
                <w:rFonts w:ascii="Calibri" w:hAnsi="Calibri" w:eastAsia="Microsoft YaHei"/>
                <w:sz w:val="18"/>
              </w:rPr>
              <w:t>将延时固定为0.50 s</w:t>
            </w:r>
          </w:p>
        </w:tc>
        <w:tc>
          <w:tcPr>
            <w:tcW w:type="dxa" w:w="2060"/>
            <w:vAlign w:val="center"/>
          </w:tcPr>
          <w:p>
            <w:pPr>
              <w:pStyle w:val="AurekTable"/>
              <w:jc w:val="left"/>
            </w:pPr>
            <w:r>
              <w:rPr>
                <w:rFonts w:ascii="Calibri" w:hAnsi="Calibri" w:eastAsia="Microsoft YaHei"/>
                <w:sz w:val="18"/>
              </w:rPr>
              <w:t>10</w:t>
            </w:r>
          </w:p>
        </w:tc>
        <w:tc>
          <w:tcPr>
            <w:tcW w:type="dxa" w:w="2120"/>
            <w:vAlign w:val="center"/>
          </w:tcPr>
          <w:p>
            <w:pPr>
              <w:pStyle w:val="AurekTable"/>
              <w:jc w:val="left"/>
            </w:pPr>
            <w:r>
              <w:rPr>
                <w:rFonts w:ascii="Calibri" w:hAnsi="Calibri" w:eastAsia="Microsoft YaHei"/>
                <w:sz w:val="18"/>
              </w:rPr>
              <w:t>压力联锁继续阻止运动</w:t>
            </w:r>
          </w:p>
        </w:tc>
        <w:tc>
          <w:tcPr>
            <w:tcW w:type="dxa" w:w="2120"/>
            <w:vAlign w:val="center"/>
          </w:tcPr>
          <w:p>
            <w:pPr>
              <w:pStyle w:val="AurekTable"/>
              <w:jc w:val="left"/>
            </w:pPr>
            <w:r>
              <w:rPr>
                <w:rFonts w:ascii="Calibri" w:hAnsi="Calibri" w:eastAsia="Microsoft YaHei"/>
                <w:sz w:val="18"/>
              </w:rPr>
              <w:t>任一区Δp_LB＜50 kPa均无提升</w:t>
            </w:r>
          </w:p>
        </w:tc>
      </w:tr>
      <w:tr>
        <w:trPr>
          <w:cantSplit w:val="true"/>
        </w:trPr>
        <w:tc>
          <w:tcPr>
            <w:tcW w:type="dxa" w:w="1300"/>
            <w:shd w:fill="F2F4F7"/>
            <w:vAlign w:val="center"/>
          </w:tcPr>
          <w:p>
            <w:pPr>
              <w:pStyle w:val="AurekTable"/>
              <w:jc w:val="left"/>
            </w:pPr>
            <w:r>
              <w:rPr>
                <w:rFonts w:ascii="Calibri" w:hAnsi="Calibri" w:eastAsia="Microsoft YaHei"/>
                <w:sz w:val="18"/>
              </w:rPr>
              <w:t>排气阀误动作</w:t>
            </w:r>
          </w:p>
        </w:tc>
        <w:tc>
          <w:tcPr>
            <w:tcW w:type="dxa" w:w="1760"/>
            <w:vAlign w:val="center"/>
          </w:tcPr>
          <w:p>
            <w:pPr>
              <w:pStyle w:val="AurekTable"/>
              <w:jc w:val="left"/>
            </w:pPr>
            <w:r>
              <w:rPr>
                <w:rFonts w:ascii="Calibri" w:hAnsi="Calibri" w:eastAsia="Microsoft YaHei"/>
                <w:sz w:val="18"/>
              </w:rPr>
              <w:t>路径中点注入排气输出请求</w:t>
            </w:r>
          </w:p>
        </w:tc>
        <w:tc>
          <w:tcPr>
            <w:tcW w:type="dxa" w:w="2060"/>
            <w:vAlign w:val="center"/>
          </w:tcPr>
          <w:p>
            <w:pPr>
              <w:pStyle w:val="AurekTable"/>
              <w:jc w:val="left"/>
            </w:pPr>
            <w:r>
              <w:rPr>
                <w:rFonts w:ascii="Calibri" w:hAnsi="Calibri" w:eastAsia="Microsoft YaHei"/>
                <w:sz w:val="18"/>
              </w:rPr>
              <w:t>10</w:t>
            </w:r>
          </w:p>
        </w:tc>
        <w:tc>
          <w:tcPr>
            <w:tcW w:type="dxa" w:w="2120"/>
            <w:vAlign w:val="center"/>
          </w:tcPr>
          <w:p>
            <w:pPr>
              <w:pStyle w:val="AurekTable"/>
              <w:jc w:val="left"/>
            </w:pPr>
            <w:r>
              <w:rPr>
                <w:rFonts w:ascii="Calibri" w:hAnsi="Calibri" w:eastAsia="Microsoft YaHei"/>
                <w:sz w:val="18"/>
              </w:rPr>
              <w:t>五项释放许可屏蔽请求</w:t>
            </w:r>
          </w:p>
        </w:tc>
        <w:tc>
          <w:tcPr>
            <w:tcW w:type="dxa" w:w="2120"/>
            <w:vAlign w:val="center"/>
          </w:tcPr>
          <w:p>
            <w:pPr>
              <w:pStyle w:val="AurekTable"/>
              <w:jc w:val="left"/>
            </w:pPr>
            <w:r>
              <w:rPr>
                <w:rFonts w:ascii="Calibri" w:hAnsi="Calibri" w:eastAsia="Microsoft YaHei"/>
                <w:sz w:val="18"/>
              </w:rPr>
              <w:t>t_3前排气阀不得得电</w:t>
            </w:r>
          </w:p>
        </w:tc>
      </w:tr>
    </w:tbl>
    <w:p>
      <w:pPr>
        <w:spacing w:after="40"/>
      </w:pPr>
    </w:p>
    <w:p>
      <w:pPr/>
      <w:r>
        <w:rPr>
          <w:rFonts w:ascii="Calibri" w:hAnsi="Calibri" w:eastAsia="Microsoft YaHei"/>
          <w:sz w:val="22"/>
        </w:rPr>
        <w:t>每一阶段共执行290次故障注入，FAT与SAT合计580次。故障注入必须使用防坠承接装置并清空危险区。任一非预期运动、压力下界越线、时间超限、加速度上界超限、滑移上界超限、排气误动作或人工托住工件均计为失败；失败后不得补做单次，完成整改后该失效模式在该阶段从第一次重新执行。</w:t>
      </w:r>
    </w:p>
    <w:p>
      <w:pPr>
        <w:pStyle w:val="Heading1"/>
      </w:pPr>
      <w:r>
        <w:rPr>
          <w:rFonts w:ascii="Calibri" w:hAnsi="Calibri" w:eastAsia="Microsoft YaHei"/>
        </w:rPr>
        <w:t>10 FAT、SAT 与真空抓取子系统工程放行标准</w:t>
      </w:r>
    </w:p>
    <w:p>
      <w:pPr/>
      <w:r>
        <w:rPr>
          <w:rFonts w:ascii="Calibri" w:hAnsi="Calibri" w:eastAsia="Microsoft YaHei"/>
          <w:sz w:val="22"/>
        </w:rPr>
        <w:t>子系统工程放行由前置门、设计资料、工厂验收 FAT、现场验收 SAT 四道门组成。四道门全部通过才形成真空抓取子系统工程放行；计算通过不能替代实物验收，FAT 数据不能抵扣 SAT，供应商样本不能替代目标纸箱。</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编号</w:t>
            </w:r>
          </w:p>
        </w:tc>
        <w:tc>
          <w:tcPr>
            <w:tcW w:type="dxa" w:w="3480"/>
            <w:shd w:fill="2E74B5"/>
            <w:vAlign w:val="center"/>
          </w:tcPr>
          <w:p>
            <w:pPr>
              <w:pStyle w:val="AurekTable"/>
              <w:keepNext/>
              <w:keepLines/>
              <w:jc w:val="center"/>
            </w:pPr>
            <w:r>
              <w:rPr>
                <w:rFonts w:ascii="Calibri" w:hAnsi="Calibri" w:eastAsia="Microsoft YaHei"/>
                <w:b/>
                <w:color w:val="FFFFFF"/>
                <w:sz w:val="18"/>
              </w:rPr>
              <w:t>放行门</w:t>
            </w:r>
          </w:p>
        </w:tc>
        <w:tc>
          <w:tcPr>
            <w:tcW w:type="dxa" w:w="4080"/>
            <w:shd w:fill="2E74B5"/>
            <w:vAlign w:val="center"/>
          </w:tcPr>
          <w:p>
            <w:pPr>
              <w:pStyle w:val="AurekTable"/>
              <w:keepNext/>
              <w:keepLines/>
              <w:jc w:val="center"/>
            </w:pPr>
            <w:r>
              <w:rPr>
                <w:rFonts w:ascii="Calibri" w:hAnsi="Calibri" w:eastAsia="Microsoft YaHei"/>
                <w:b/>
                <w:color w:val="FFFFFF"/>
                <w:sz w:val="18"/>
              </w:rPr>
              <w:t>明确通过标准</w:t>
            </w:r>
          </w:p>
        </w:tc>
      </w:tr>
      <w:tr>
        <w:trPr>
          <w:cantSplit w:val="true"/>
        </w:trPr>
        <w:tc>
          <w:tcPr>
            <w:tcW w:type="dxa" w:w="1800"/>
            <w:shd w:fill="F2F4F7"/>
            <w:vAlign w:val="center"/>
          </w:tcPr>
          <w:p>
            <w:pPr>
              <w:pStyle w:val="AurekTable"/>
              <w:jc w:val="left"/>
            </w:pPr>
            <w:r>
              <w:rPr>
                <w:rFonts w:ascii="Calibri" w:hAnsi="Calibri" w:eastAsia="Microsoft YaHei"/>
                <w:sz w:val="18"/>
              </w:rPr>
              <w:t>R1</w:t>
            </w:r>
          </w:p>
        </w:tc>
        <w:tc>
          <w:tcPr>
            <w:tcW w:type="dxa" w:w="3480"/>
            <w:vAlign w:val="center"/>
          </w:tcPr>
          <w:p>
            <w:pPr>
              <w:pStyle w:val="AurekTable"/>
              <w:jc w:val="left"/>
            </w:pPr>
            <w:r>
              <w:rPr>
                <w:rFonts w:ascii="Calibri" w:hAnsi="Calibri" w:eastAsia="Microsoft YaHei"/>
                <w:sz w:val="18"/>
              </w:rPr>
              <w:t>前置门与输入冻结</w:t>
            </w:r>
          </w:p>
        </w:tc>
        <w:tc>
          <w:tcPr>
            <w:tcW w:type="dxa" w:w="4080"/>
            <w:vAlign w:val="center"/>
          </w:tcPr>
          <w:p>
            <w:pPr>
              <w:pStyle w:val="AurekTable"/>
              <w:jc w:val="left"/>
            </w:pPr>
            <w:r>
              <w:rPr>
                <w:rFonts w:ascii="Calibri" w:hAnsi="Calibri" w:eastAsia="Microsoft YaHei"/>
                <w:sz w:val="18"/>
              </w:rPr>
              <w:t>整机风险评估结论通过；Lift_Enable、故障检测、排气禁止和受控落位的已验证PL/SIL≥风险评估要求；机器人集成、储气罐本体和环境合规结论通过；质量/重心/三维坐标/加速度/安全位/A_eff,LB/μ_LB/Q_L,UB/Q_S,LB及全部U值有版本</w:t>
            </w:r>
          </w:p>
        </w:tc>
      </w:tr>
      <w:tr>
        <w:trPr>
          <w:cantSplit w:val="true"/>
        </w:trPr>
        <w:tc>
          <w:tcPr>
            <w:tcW w:type="dxa" w:w="1800"/>
            <w:shd w:fill="F2F4F7"/>
            <w:vAlign w:val="center"/>
          </w:tcPr>
          <w:p>
            <w:pPr>
              <w:pStyle w:val="AurekTable"/>
              <w:jc w:val="left"/>
            </w:pPr>
            <w:r>
              <w:rPr>
                <w:rFonts w:ascii="Calibri" w:hAnsi="Calibri" w:eastAsia="Microsoft YaHei"/>
                <w:sz w:val="18"/>
              </w:rPr>
              <w:t>R2</w:t>
            </w:r>
          </w:p>
        </w:tc>
        <w:tc>
          <w:tcPr>
            <w:tcW w:type="dxa" w:w="3480"/>
            <w:vAlign w:val="center"/>
          </w:tcPr>
          <w:p>
            <w:pPr>
              <w:pStyle w:val="AurekTable"/>
              <w:jc w:val="left"/>
            </w:pPr>
            <w:r>
              <w:rPr>
                <w:rFonts w:ascii="Calibri" w:hAnsi="Calibri" w:eastAsia="Microsoft YaHei"/>
                <w:sz w:val="18"/>
              </w:rPr>
              <w:t>静态/动态承载</w:t>
            </w:r>
          </w:p>
        </w:tc>
        <w:tc>
          <w:tcPr>
            <w:tcW w:type="dxa" w:w="4080"/>
            <w:vAlign w:val="center"/>
          </w:tcPr>
          <w:p>
            <w:pPr>
              <w:pStyle w:val="AurekTable"/>
              <w:jc w:val="left"/>
            </w:pPr>
            <w:r>
              <w:rPr>
                <w:rFonts w:ascii="Calibri" w:hAnsi="Calibri" w:eastAsia="Microsoft YaHei"/>
                <w:sz w:val="18"/>
              </w:rPr>
              <w:t>正常及任一区失效时快速容量比≥1.00，且所有10 ms时刻存在η_i≤1.00的三维平衡解</w:t>
            </w:r>
          </w:p>
        </w:tc>
      </w:tr>
      <w:tr>
        <w:trPr>
          <w:cantSplit w:val="true"/>
        </w:trPr>
        <w:tc>
          <w:tcPr>
            <w:tcW w:type="dxa" w:w="1800"/>
            <w:shd w:fill="F2F4F7"/>
            <w:vAlign w:val="center"/>
          </w:tcPr>
          <w:p>
            <w:pPr>
              <w:pStyle w:val="AurekTable"/>
              <w:jc w:val="left"/>
            </w:pPr>
            <w:r>
              <w:rPr>
                <w:rFonts w:ascii="Calibri" w:hAnsi="Calibri" w:eastAsia="Microsoft YaHei"/>
                <w:sz w:val="18"/>
              </w:rPr>
              <w:t>R3</w:t>
            </w:r>
          </w:p>
        </w:tc>
        <w:tc>
          <w:tcPr>
            <w:tcW w:type="dxa" w:w="3480"/>
            <w:vAlign w:val="center"/>
          </w:tcPr>
          <w:p>
            <w:pPr>
              <w:pStyle w:val="AurekTable"/>
              <w:jc w:val="left"/>
            </w:pPr>
            <w:r>
              <w:rPr>
                <w:rFonts w:ascii="Calibri" w:hAnsi="Calibri" w:eastAsia="Microsoft YaHei"/>
                <w:sz w:val="18"/>
              </w:rPr>
              <w:t>流量储备</w:t>
            </w:r>
          </w:p>
        </w:tc>
        <w:tc>
          <w:tcPr>
            <w:tcW w:type="dxa" w:w="4080"/>
            <w:vAlign w:val="center"/>
          </w:tcPr>
          <w:p>
            <w:pPr>
              <w:pStyle w:val="AurekTable"/>
              <w:jc w:val="left"/>
            </w:pPr>
            <w:r>
              <w:rPr>
                <w:rFonts w:ascii="Calibri" w:hAnsi="Calibri" w:eastAsia="Microsoft YaHei"/>
                <w:sz w:val="18"/>
              </w:rPr>
              <w:t>每区 Q_S,LB(45 kPa、0.40 MPa供气)/Q_L,UB≥1.50</w:t>
            </w:r>
          </w:p>
        </w:tc>
      </w:tr>
      <w:tr>
        <w:trPr>
          <w:cantSplit w:val="true"/>
        </w:trPr>
        <w:tc>
          <w:tcPr>
            <w:tcW w:type="dxa" w:w="1800"/>
            <w:shd w:fill="F2F4F7"/>
            <w:vAlign w:val="center"/>
          </w:tcPr>
          <w:p>
            <w:pPr>
              <w:pStyle w:val="AurekTable"/>
              <w:jc w:val="left"/>
            </w:pPr>
            <w:r>
              <w:rPr>
                <w:rFonts w:ascii="Calibri" w:hAnsi="Calibri" w:eastAsia="Microsoft YaHei"/>
                <w:sz w:val="18"/>
              </w:rPr>
              <w:t>R4</w:t>
            </w:r>
          </w:p>
        </w:tc>
        <w:tc>
          <w:tcPr>
            <w:tcW w:type="dxa" w:w="3480"/>
            <w:vAlign w:val="center"/>
          </w:tcPr>
          <w:p>
            <w:pPr>
              <w:pStyle w:val="AurekTable"/>
              <w:jc w:val="left"/>
            </w:pPr>
            <w:r>
              <w:rPr>
                <w:rFonts w:ascii="Calibri" w:hAnsi="Calibri" w:eastAsia="Microsoft YaHei"/>
                <w:sz w:val="18"/>
              </w:rPr>
              <w:t>建立时间</w:t>
            </w:r>
          </w:p>
        </w:tc>
        <w:tc>
          <w:tcPr>
            <w:tcW w:type="dxa" w:w="4080"/>
            <w:vAlign w:val="center"/>
          </w:tcPr>
          <w:p>
            <w:pPr>
              <w:pStyle w:val="AurekTable"/>
              <w:jc w:val="left"/>
            </w:pPr>
            <w:r>
              <w:rPr>
                <w:rFonts w:ascii="Calibri" w:hAnsi="Calibri" w:eastAsia="Microsoft YaHei"/>
                <w:sz w:val="18"/>
              </w:rPr>
              <w:t>E1～E10每单元150/150循环、600/600分区曲线均在2.0 s内达到50 kPa下界并稳定200 ms</w:t>
            </w:r>
          </w:p>
        </w:tc>
      </w:tr>
      <w:tr>
        <w:trPr>
          <w:cantSplit w:val="true"/>
        </w:trPr>
        <w:tc>
          <w:tcPr>
            <w:tcW w:type="dxa" w:w="1800"/>
            <w:shd w:fill="F2F4F7"/>
            <w:vAlign w:val="center"/>
          </w:tcPr>
          <w:p>
            <w:pPr>
              <w:pStyle w:val="AurekTable"/>
              <w:jc w:val="left"/>
            </w:pPr>
            <w:r>
              <w:rPr>
                <w:rFonts w:ascii="Calibri" w:hAnsi="Calibri" w:eastAsia="Microsoft YaHei"/>
                <w:sz w:val="18"/>
              </w:rPr>
              <w:t>R5</w:t>
            </w:r>
          </w:p>
        </w:tc>
        <w:tc>
          <w:tcPr>
            <w:tcW w:type="dxa" w:w="3480"/>
            <w:vAlign w:val="center"/>
          </w:tcPr>
          <w:p>
            <w:pPr>
              <w:pStyle w:val="AurekTable"/>
              <w:jc w:val="left"/>
            </w:pPr>
            <w:r>
              <w:rPr>
                <w:rFonts w:ascii="Calibri" w:hAnsi="Calibri" w:eastAsia="Microsoft YaHei"/>
                <w:sz w:val="18"/>
              </w:rPr>
              <w:t>动态搬运</w:t>
            </w:r>
          </w:p>
        </w:tc>
        <w:tc>
          <w:tcPr>
            <w:tcW w:type="dxa" w:w="4080"/>
            <w:vAlign w:val="center"/>
          </w:tcPr>
          <w:p>
            <w:pPr>
              <w:pStyle w:val="AurekTable"/>
              <w:jc w:val="left"/>
            </w:pPr>
            <w:r>
              <w:rPr>
                <w:rFonts w:ascii="Calibri" w:hAnsi="Calibri" w:eastAsia="Microsoft YaHei"/>
                <w:sz w:val="18"/>
              </w:rPr>
              <w:t>D1～D6每单元120/120循环；零跌落，s_UB≤2.00 mm，加速度上界不超计算包络</w:t>
            </w:r>
          </w:p>
        </w:tc>
      </w:tr>
      <w:tr>
        <w:trPr>
          <w:cantSplit w:val="true"/>
        </w:trPr>
        <w:tc>
          <w:tcPr>
            <w:tcW w:type="dxa" w:w="1800"/>
            <w:shd w:fill="F2F4F7"/>
            <w:vAlign w:val="center"/>
          </w:tcPr>
          <w:p>
            <w:pPr>
              <w:pStyle w:val="AurekTable"/>
              <w:jc w:val="left"/>
            </w:pPr>
            <w:r>
              <w:rPr>
                <w:rFonts w:ascii="Calibri" w:hAnsi="Calibri" w:eastAsia="Microsoft YaHei"/>
                <w:sz w:val="18"/>
              </w:rPr>
              <w:t>R6</w:t>
            </w:r>
          </w:p>
        </w:tc>
        <w:tc>
          <w:tcPr>
            <w:tcW w:type="dxa" w:w="3480"/>
            <w:vAlign w:val="center"/>
          </w:tcPr>
          <w:p>
            <w:pPr>
              <w:pStyle w:val="AurekTable"/>
              <w:jc w:val="left"/>
            </w:pPr>
            <w:r>
              <w:rPr>
                <w:rFonts w:ascii="Calibri" w:hAnsi="Calibri" w:eastAsia="Microsoft YaHei"/>
                <w:sz w:val="18"/>
              </w:rPr>
              <w:t>单区故障</w:t>
            </w:r>
          </w:p>
        </w:tc>
        <w:tc>
          <w:tcPr>
            <w:tcW w:type="dxa" w:w="4080"/>
            <w:vAlign w:val="center"/>
          </w:tcPr>
          <w:p>
            <w:pPr>
              <w:pStyle w:val="AurekTable"/>
              <w:jc w:val="left"/>
            </w:pPr>
            <w:r>
              <w:rPr>
                <w:rFonts w:ascii="Calibri" w:hAnsi="Calibri" w:eastAsia="Microsoft YaHei"/>
                <w:sz w:val="18"/>
              </w:rPr>
              <w:t>四区断开各10次、止回阀卡开各10次；健康区Δp_LB≥45 kPa，全部按时落至S1</w:t>
            </w:r>
          </w:p>
        </w:tc>
      </w:tr>
      <w:tr>
        <w:trPr>
          <w:cantSplit w:val="true"/>
        </w:trPr>
        <w:tc>
          <w:tcPr>
            <w:tcW w:type="dxa" w:w="1800"/>
            <w:shd w:fill="F2F4F7"/>
            <w:vAlign w:val="center"/>
          </w:tcPr>
          <w:p>
            <w:pPr>
              <w:pStyle w:val="AurekTable"/>
              <w:jc w:val="left"/>
            </w:pPr>
            <w:r>
              <w:rPr>
                <w:rFonts w:ascii="Calibri" w:hAnsi="Calibri" w:eastAsia="Microsoft YaHei"/>
                <w:sz w:val="18"/>
              </w:rPr>
              <w:t>R7</w:t>
            </w:r>
          </w:p>
        </w:tc>
        <w:tc>
          <w:tcPr>
            <w:tcW w:type="dxa" w:w="3480"/>
            <w:vAlign w:val="center"/>
          </w:tcPr>
          <w:p>
            <w:pPr>
              <w:pStyle w:val="AurekTable"/>
              <w:jc w:val="left"/>
            </w:pPr>
            <w:r>
              <w:rPr>
                <w:rFonts w:ascii="Calibri" w:hAnsi="Calibri" w:eastAsia="Microsoft YaHei"/>
                <w:sz w:val="18"/>
              </w:rPr>
              <w:t>主供能丧失</w:t>
            </w:r>
          </w:p>
        </w:tc>
        <w:tc>
          <w:tcPr>
            <w:tcW w:type="dxa" w:w="4080"/>
            <w:vAlign w:val="center"/>
          </w:tcPr>
          <w:p>
            <w:pPr>
              <w:pStyle w:val="AurekTable"/>
              <w:jc w:val="left"/>
            </w:pPr>
            <w:r>
              <w:rPr>
                <w:rFonts w:ascii="Calibri" w:hAnsi="Calibri" w:eastAsia="Microsoft YaHei"/>
                <w:sz w:val="18"/>
              </w:rPr>
              <w:t>10/10次满足t_1−t_0≤0.10 s、t_2−t_0≤0.50 s、t_3−t_2≤4.00 s，t_0～t_3健康区Δp_LB≥45 kPa</w:t>
            </w:r>
          </w:p>
        </w:tc>
      </w:tr>
      <w:tr>
        <w:trPr>
          <w:cantSplit w:val="true"/>
        </w:trPr>
        <w:tc>
          <w:tcPr>
            <w:tcW w:type="dxa" w:w="1800"/>
            <w:shd w:fill="F2F4F7"/>
            <w:vAlign w:val="center"/>
          </w:tcPr>
          <w:p>
            <w:pPr>
              <w:pStyle w:val="AurekTable"/>
              <w:jc w:val="left"/>
            </w:pPr>
            <w:r>
              <w:rPr>
                <w:rFonts w:ascii="Calibri" w:hAnsi="Calibri" w:eastAsia="Microsoft YaHei"/>
                <w:sz w:val="18"/>
              </w:rPr>
              <w:t>R8</w:t>
            </w:r>
          </w:p>
        </w:tc>
        <w:tc>
          <w:tcPr>
            <w:tcW w:type="dxa" w:w="3480"/>
            <w:vAlign w:val="center"/>
          </w:tcPr>
          <w:p>
            <w:pPr>
              <w:pStyle w:val="AurekTable"/>
              <w:jc w:val="left"/>
            </w:pPr>
            <w:r>
              <w:rPr>
                <w:rFonts w:ascii="Calibri" w:hAnsi="Calibri" w:eastAsia="Microsoft YaHei"/>
                <w:sz w:val="18"/>
              </w:rPr>
              <w:t>故障注入</w:t>
            </w:r>
          </w:p>
        </w:tc>
        <w:tc>
          <w:tcPr>
            <w:tcW w:type="dxa" w:w="4080"/>
            <w:vAlign w:val="center"/>
          </w:tcPr>
          <w:p>
            <w:pPr>
              <w:pStyle w:val="AurekTable"/>
              <w:jc w:val="left"/>
            </w:pPr>
            <w:r>
              <w:rPr>
                <w:rFonts w:ascii="Calibri" w:hAnsi="Calibri" w:eastAsia="Microsoft YaHei"/>
                <w:sz w:val="18"/>
              </w:rPr>
              <w:t>第09章每阶段290/290次零错误许可、零误排气、零时间/压力/加速度/滑移越线</w:t>
            </w:r>
          </w:p>
        </w:tc>
      </w:tr>
      <w:tr>
        <w:trPr>
          <w:cantSplit w:val="true"/>
        </w:trPr>
        <w:tc>
          <w:tcPr>
            <w:tcW w:type="dxa" w:w="1800"/>
            <w:shd w:fill="F2F4F7"/>
            <w:vAlign w:val="center"/>
          </w:tcPr>
          <w:p>
            <w:pPr>
              <w:pStyle w:val="AurekTable"/>
              <w:jc w:val="left"/>
            </w:pPr>
            <w:r>
              <w:rPr>
                <w:rFonts w:ascii="Calibri" w:hAnsi="Calibri" w:eastAsia="Microsoft YaHei"/>
                <w:sz w:val="18"/>
              </w:rPr>
              <w:t>R9</w:t>
            </w:r>
          </w:p>
        </w:tc>
        <w:tc>
          <w:tcPr>
            <w:tcW w:type="dxa" w:w="3480"/>
            <w:vAlign w:val="center"/>
          </w:tcPr>
          <w:p>
            <w:pPr>
              <w:pStyle w:val="AurekTable"/>
              <w:jc w:val="left"/>
            </w:pPr>
            <w:r>
              <w:rPr>
                <w:rFonts w:ascii="Calibri" w:hAnsi="Calibri" w:eastAsia="Microsoft YaHei"/>
                <w:sz w:val="18"/>
              </w:rPr>
              <w:t>纸箱结构</w:t>
            </w:r>
          </w:p>
        </w:tc>
        <w:tc>
          <w:tcPr>
            <w:tcW w:type="dxa" w:w="4080"/>
            <w:vAlign w:val="center"/>
          </w:tcPr>
          <w:p>
            <w:pPr>
              <w:pStyle w:val="AurekTable"/>
              <w:jc w:val="left"/>
            </w:pPr>
            <w:r>
              <w:rPr>
                <w:rFonts w:ascii="Calibri" w:hAnsi="Calibri" w:eastAsia="Microsoft YaHei"/>
                <w:sz w:val="18"/>
              </w:rPr>
              <w:t>无盖板掀开、面层剥离或穿孔；卸载60 s后永久凹陷上界≤2.00 mm</w:t>
            </w:r>
          </w:p>
        </w:tc>
      </w:tr>
      <w:tr>
        <w:trPr>
          <w:cantSplit w:val="true"/>
        </w:trPr>
        <w:tc>
          <w:tcPr>
            <w:tcW w:type="dxa" w:w="1800"/>
            <w:shd w:fill="F2F4F7"/>
            <w:vAlign w:val="center"/>
          </w:tcPr>
          <w:p>
            <w:pPr>
              <w:pStyle w:val="AurekTable"/>
              <w:jc w:val="left"/>
            </w:pPr>
            <w:r>
              <w:rPr>
                <w:rFonts w:ascii="Calibri" w:hAnsi="Calibri" w:eastAsia="Microsoft YaHei"/>
                <w:sz w:val="18"/>
              </w:rPr>
              <w:t>R10</w:t>
            </w:r>
          </w:p>
        </w:tc>
        <w:tc>
          <w:tcPr>
            <w:tcW w:type="dxa" w:w="3480"/>
            <w:vAlign w:val="center"/>
          </w:tcPr>
          <w:p>
            <w:pPr>
              <w:pStyle w:val="AurekTable"/>
              <w:jc w:val="left"/>
            </w:pPr>
            <w:r>
              <w:rPr>
                <w:rFonts w:ascii="Calibri" w:hAnsi="Calibri" w:eastAsia="Microsoft YaHei"/>
                <w:sz w:val="18"/>
              </w:rPr>
              <w:t>记录完整性</w:t>
            </w:r>
          </w:p>
        </w:tc>
        <w:tc>
          <w:tcPr>
            <w:tcW w:type="dxa" w:w="4080"/>
            <w:vAlign w:val="center"/>
          </w:tcPr>
          <w:p>
            <w:pPr>
              <w:pStyle w:val="AurekTable"/>
              <w:jc w:val="left"/>
            </w:pPr>
            <w:r>
              <w:rPr>
                <w:rFonts w:ascii="Calibri" w:hAnsi="Calibri" w:eastAsia="Microsoft YaHei"/>
                <w:sz w:val="18"/>
              </w:rPr>
              <w:t>原始压力/流量/加速度/位移曲线、t_0～t_3日志、仪器U值、配置与结论可追溯</w:t>
            </w:r>
          </w:p>
        </w:tc>
      </w:tr>
    </w:tbl>
    <w:p>
      <w:pPr>
        <w:spacing w:after="40"/>
      </w:pPr>
    </w:p>
    <w:p>
      <w:pPr/>
      <w:r>
        <w:rPr>
          <w:rFonts w:ascii="Calibri" w:hAnsi="Calibri" w:eastAsia="Microsoft YaHei"/>
          <w:sz w:val="22"/>
        </w:rPr>
        <w:t>FAT 与 SAT 使用同一阈值并分别完成全部数量。现场更换真空发生器、吸盘型号/硬度、管径、过滤器、阀件、控制程序，或纸箱材料、涂层、胶带、质量、重心、路径加速度后，原放行边界立即失效并完整重做 R1—R10。不存在“带条件放行”：任何一项不满足，真空抓取子系统工程结论为不通过。</w:t>
      </w:r>
    </w:p>
    <w:p>
      <w:pPr>
        <w:pStyle w:val="Heading1"/>
      </w:pPr>
      <w:r>
        <w:rPr>
          <w:rFonts w:ascii="Calibri" w:hAnsi="Calibri" w:eastAsia="Microsoft YaHei"/>
        </w:rPr>
        <w:t>11 工程控制与维护要求</w:t>
      </w:r>
    </w:p>
    <w:p>
      <w:pPr>
        <w:pStyle w:val="AurekList"/>
        <w:numPr>
          <w:ilvl w:val="0"/>
          <w:numId w:val="11"/>
        </w:numPr>
      </w:pPr>
      <w:r>
        <w:rPr>
          <w:rFonts w:ascii="Calibri" w:hAnsi="Calibri" w:eastAsia="Microsoft YaHei"/>
          <w:b/>
          <w:color w:val="203748"/>
          <w:sz w:val="21"/>
        </w:rPr>
        <w:t>吸盘与落点</w:t>
      </w:r>
      <w:r>
        <w:rPr>
          <w:rFonts w:ascii="Calibri" w:hAnsi="Calibri" w:eastAsia="Microsoft YaHei"/>
          <w:sz w:val="21"/>
        </w:rPr>
        <w:t>：密封唇不得跨越箱盖开缝、破损或高度差/深度≥0.50 mm 的折线、压痕、胶带台阶，与上述边界的最小距离必须≥10 mm。机械导向把压缩量限制在5 mm～9 mm。</w:t>
      </w:r>
    </w:p>
    <w:p>
      <w:pPr>
        <w:pStyle w:val="AurekList"/>
        <w:numPr>
          <w:ilvl w:val="0"/>
          <w:numId w:val="11"/>
        </w:numPr>
      </w:pPr>
      <w:r>
        <w:rPr>
          <w:rFonts w:ascii="Calibri" w:hAnsi="Calibri" w:eastAsia="Microsoft YaHei"/>
          <w:b/>
          <w:color w:val="203748"/>
          <w:sz w:val="21"/>
        </w:rPr>
        <w:t>过滤与排水</w:t>
      </w:r>
      <w:r>
        <w:rPr>
          <w:rFonts w:ascii="Calibri" w:hAnsi="Calibri" w:eastAsia="Microsoft YaHei"/>
          <w:sz w:val="21"/>
        </w:rPr>
        <w:t>：每区配置压差监测过滤器。过滤器压差上界达到5 kPa或使用达到500 h，两者先到即锁止并更换；更换后重新执行Q_H班前测试。</w:t>
      </w:r>
    </w:p>
    <w:p>
      <w:pPr>
        <w:pStyle w:val="AurekList"/>
        <w:numPr>
          <w:ilvl w:val="0"/>
          <w:numId w:val="11"/>
        </w:numPr>
      </w:pPr>
      <w:r>
        <w:rPr>
          <w:rFonts w:ascii="Calibri" w:hAnsi="Calibri" w:eastAsia="Microsoft YaHei"/>
          <w:b/>
          <w:color w:val="203748"/>
          <w:sz w:val="21"/>
        </w:rPr>
        <w:t>分区检查</w:t>
      </w:r>
      <w:r>
        <w:rPr>
          <w:rFonts w:ascii="Calibri" w:hAnsi="Calibri" w:eastAsia="Microsoft YaHei"/>
          <w:sz w:val="21"/>
        </w:rPr>
        <w:t>：每班开始前用不透气标准板在45 kPa压差处执行硬件泄漏自检；任一区 Q_H,UB/Q_S,LB＞0.05 即停用维修。</w:t>
      </w:r>
    </w:p>
    <w:p>
      <w:pPr>
        <w:pStyle w:val="AurekList"/>
        <w:numPr>
          <w:ilvl w:val="0"/>
          <w:numId w:val="11"/>
        </w:numPr>
      </w:pPr>
      <w:r>
        <w:rPr>
          <w:rFonts w:ascii="Calibri" w:hAnsi="Calibri" w:eastAsia="Microsoft YaHei"/>
          <w:b/>
          <w:color w:val="203748"/>
          <w:sz w:val="21"/>
        </w:rPr>
        <w:t>传感器诊断</w:t>
      </w:r>
      <w:r>
        <w:rPr>
          <w:rFonts w:ascii="Calibri" w:hAnsi="Calibri" w:eastAsia="Microsoft YaHei"/>
          <w:sz w:val="21"/>
        </w:rPr>
        <w:t>：吸附前0≤Δp_UB≤5 kPa并连续500 ms；阀动作后300 ms内变化＜0.50 kPa、连续30 ms无新样本或开关量/模拟量矛盾＞50 ms，均置位故障。</w:t>
      </w:r>
    </w:p>
    <w:p>
      <w:pPr>
        <w:pStyle w:val="AurekList"/>
        <w:numPr>
          <w:ilvl w:val="0"/>
          <w:numId w:val="11"/>
        </w:numPr>
      </w:pPr>
      <w:r>
        <w:rPr>
          <w:rFonts w:ascii="Calibri" w:hAnsi="Calibri" w:eastAsia="Microsoft YaHei"/>
          <w:b/>
          <w:color w:val="203748"/>
          <w:sz w:val="21"/>
        </w:rPr>
        <w:t>压力阈值保护</w:t>
      </w:r>
      <w:r>
        <w:rPr>
          <w:rFonts w:ascii="Calibri" w:hAnsi="Calibri" w:eastAsia="Microsoft YaHei"/>
          <w:sz w:val="21"/>
        </w:rPr>
        <w:t>：正常运动期间每区Δp_LB必须≥50 kPa。任一健康区出现一个100 Hz采样点Δp_LB＜45 kPa，控制器在下一扫描周期置位故障，且t_2时间门仍须≤0.50 s。</w:t>
      </w:r>
    </w:p>
    <w:p>
      <w:pPr>
        <w:pStyle w:val="AurekList"/>
        <w:numPr>
          <w:ilvl w:val="0"/>
          <w:numId w:val="11"/>
        </w:numPr>
      </w:pPr>
      <w:r>
        <w:rPr>
          <w:rFonts w:ascii="Calibri" w:hAnsi="Calibri" w:eastAsia="Microsoft YaHei"/>
          <w:b/>
          <w:color w:val="203748"/>
          <w:sz w:val="21"/>
        </w:rPr>
        <w:t>变更管理</w:t>
      </w:r>
      <w:r>
        <w:rPr>
          <w:rFonts w:ascii="Calibri" w:hAnsi="Calibri" w:eastAsia="Microsoft YaHei"/>
          <w:sz w:val="21"/>
        </w:rPr>
        <w:t>：吸盘、密封材料、阀、软管长度、真空源、程序参数和纸箱材料均纳入版本管理。未经重新计算和相应复验，不得替换。</w:t>
      </w:r>
    </w:p>
    <w:p>
      <w:pPr>
        <w:pStyle w:val="AurekList"/>
        <w:numPr>
          <w:ilvl w:val="0"/>
          <w:numId w:val="11"/>
        </w:numPr>
      </w:pPr>
      <w:r>
        <w:rPr>
          <w:rFonts w:ascii="Calibri" w:hAnsi="Calibri" w:eastAsia="Microsoft YaHei"/>
          <w:b/>
          <w:color w:val="203748"/>
          <w:sz w:val="21"/>
        </w:rPr>
        <w:t>人员与能量隔离</w:t>
      </w:r>
      <w:r>
        <w:rPr>
          <w:rFonts w:ascii="Calibri" w:hAnsi="Calibri" w:eastAsia="Microsoft YaHei"/>
          <w:sz w:val="21"/>
        </w:rPr>
        <w:t>：维护前切断、锁定并释放气动残余能量，支撑力下界达到0.95m_UBg并连续500 ms后才允许进入。ISO 4414:2010用于机械气动系统设计、安装、运行和维护，不覆盖压缩机、工厂供气分配、气瓶和储气罐[4]；储气罐合规记录属于R1前置门。</w:t>
      </w:r>
    </w:p>
    <w:p>
      <w:pPr>
        <w:pStyle w:val="Heading1"/>
      </w:pPr>
      <w:r>
        <w:rPr>
          <w:rFonts w:ascii="Calibri" w:hAnsi="Calibri" w:eastAsia="Microsoft YaHei"/>
        </w:rPr>
        <w:t>12 研究结论</w:t>
      </w:r>
    </w:p>
    <w:p>
      <w:pPr/>
      <w:r>
        <w:rPr>
          <w:rFonts w:ascii="Calibri" w:hAnsi="Calibri" w:eastAsia="Microsoft YaHei"/>
          <w:sz w:val="22"/>
        </w:rPr>
        <w:t>纸箱与透气工件的真空搬运不是单一吸力问题，而是承载、泄漏、动态、分区和失气处置共同组成的系统问题。本报告把真空抓取子系统工程放行固定为六个不可替代的判据：</w:t>
      </w:r>
    </w:p>
    <w:p>
      <w:pPr>
        <w:pStyle w:val="AurekList"/>
        <w:numPr>
          <w:ilvl w:val="0"/>
          <w:numId w:val="12"/>
        </w:numPr>
      </w:pPr>
      <w:r>
        <w:rPr>
          <w:rFonts w:ascii="Calibri" w:hAnsi="Calibri" w:eastAsia="Microsoft YaHei"/>
          <w:sz w:val="21"/>
        </w:rPr>
        <w:t>以 Δp_min,LB、A_eff,LB、μ_LB 和2.5倍动态载荷校核正常及单区故障状态，快速容量比≥1.00，且每个10 ms时刻存在组合系数η_i≤1.00的三维平衡解。</w:t>
      </w:r>
    </w:p>
    <w:p>
      <w:pPr>
        <w:pStyle w:val="AurekList"/>
        <w:numPr>
          <w:ilvl w:val="0"/>
          <w:numId w:val="12"/>
        </w:numPr>
      </w:pPr>
      <w:r>
        <w:rPr>
          <w:rFonts w:ascii="Calibri" w:hAnsi="Calibri" w:eastAsia="Microsoft YaHei"/>
          <w:sz w:val="21"/>
        </w:rPr>
        <w:t>每区在45 kPa压差、0.40 MPa最低供气表压处满足Q_S,LB/Q_L,UB≥1.50。</w:t>
      </w:r>
    </w:p>
    <w:p>
      <w:pPr>
        <w:pStyle w:val="AurekList"/>
        <w:numPr>
          <w:ilvl w:val="0"/>
          <w:numId w:val="12"/>
        </w:numPr>
      </w:pPr>
      <w:r>
        <w:rPr>
          <w:rFonts w:ascii="Calibri" w:hAnsi="Calibri" w:eastAsia="Microsoft YaHei"/>
          <w:sz w:val="21"/>
        </w:rPr>
        <w:t>每区在2.0 s内达到50 kPa下界，连续20个采样点合格且窗口峰峰值≤2 kPa；许可来自分区压力信号。</w:t>
      </w:r>
    </w:p>
    <w:p>
      <w:pPr>
        <w:pStyle w:val="AurekList"/>
        <w:numPr>
          <w:ilvl w:val="0"/>
          <w:numId w:val="12"/>
        </w:numPr>
      </w:pPr>
      <w:r>
        <w:rPr>
          <w:rFonts w:ascii="Calibri" w:hAnsi="Calibri" w:eastAsia="Microsoft YaHei"/>
          <w:sz w:val="21"/>
        </w:rPr>
        <w:t>任一区完全失效时，健康区压力下界保持≥45 kPa，故障加速度上界不超包络，系统落至登记支撑位。</w:t>
      </w:r>
    </w:p>
    <w:p>
      <w:pPr>
        <w:pStyle w:val="AurekList"/>
        <w:numPr>
          <w:ilvl w:val="0"/>
          <w:numId w:val="12"/>
        </w:numPr>
      </w:pPr>
      <w:r>
        <w:rPr>
          <w:rFonts w:ascii="Calibri" w:hAnsi="Calibri" w:eastAsia="Microsoft YaHei"/>
          <w:sz w:val="21"/>
        </w:rPr>
        <w:t>t_1−t_0≤0.10 s、t_2−t_0≤0.50 s、t_3−t_2≤4.00 s；备用供能按γ＝1.4和298.15 K初温上界的绝热模型满足t_res≥8.50 s。</w:t>
      </w:r>
    </w:p>
    <w:p>
      <w:pPr>
        <w:pStyle w:val="AurekList"/>
        <w:numPr>
          <w:ilvl w:val="0"/>
          <w:numId w:val="12"/>
        </w:numPr>
      </w:pPr>
      <w:r>
        <w:rPr>
          <w:rFonts w:ascii="Calibri" w:hAnsi="Calibri" w:eastAsia="Microsoft YaHei"/>
          <w:sz w:val="21"/>
        </w:rPr>
        <w:t>FAT与SAT分别完成每规格十个边界单元、六个动态单元及290次故障注入，全部零失效，且R1前置门记录齐全。</w:t>
      </w:r>
    </w:p>
    <w:p>
      <w:pPr/>
      <w:r>
        <w:rPr>
          <w:rFonts w:ascii="Calibri" w:hAnsi="Calibri" w:eastAsia="Microsoft YaHei"/>
          <w:sz w:val="22"/>
        </w:rPr>
        <w:t>第06章18 kg纸箱基准工况得到唯一“计算通过”结论：正常法向、切向快速容量比分别为4.24、8.40，组合系数最大0.44；单区失效后快速容量比分别为3.18、6.30，组合系数最大0.584；Q_S,LB＝88.2 NL/min、Q_L,UB＝56.1 NL/min，源/泄漏比1.572、需求容量比1.048；建立许可时间1.96 s；绝热备用供能时间10.85 s，大于8.50 s。该计算结果进入规定的FAT/SAT验证流程。</w:t>
      </w:r>
    </w:p>
    <w:p>
      <w:pPr/>
      <w:r>
        <w:rPr>
          <w:rFonts w:ascii="Calibri" w:hAnsi="Calibri" w:eastAsia="Microsoft YaHei"/>
          <w:sz w:val="22"/>
        </w:rPr>
        <w:t>R1—R10 全部取得 FAT 与 SAT 独立零失效记录后，真空抓取子系统结论为“通过”；缺一项即“不通过”。整机放行同时纳入风险评估、控制安全确认、机器人集成和储气罐本体合规记录。</w:t>
      </w:r>
    </w:p>
    <w:p>
      <w:pPr>
        <w:pStyle w:val="Heading1"/>
        <w:pageBreakBefore/>
      </w:pPr>
      <w:r>
        <w:rPr>
          <w:rFonts w:ascii="Calibri" w:hAnsi="Calibri" w:eastAsia="Microsoft YaHei"/>
        </w:rPr>
        <w:t>参考文献</w:t>
      </w:r>
    </w:p>
    <w:p>
      <w:pPr>
        <w:pStyle w:val="AurekSource"/>
      </w:pPr>
      <w:r>
        <w:rPr>
          <w:rFonts w:ascii="Calibri" w:hAnsi="Calibri" w:eastAsia="Microsoft YaHei"/>
          <w:sz w:val="17"/>
        </w:rPr>
        <w:t>[1] 国家市场监督管理总局、国家标准化管理委员会. [GB/T 41098—2021 起重机 安全 起重吊具](</w:t>
      </w:r>
      <w:hyperlink r:id="rId12">
        <w:r>
          <w:rPr>
            <w:rFonts w:ascii="Calibri" w:hAnsi="Calibri" w:eastAsia="Microsoft YaHei"/>
            <w:color w:val="2E74B5"/>
            <w:u w:val="single"/>
          </w:rPr>
          <w:t>https://openstd.samr.gov.cn/bzgk/std/newGbInfo?hcno=4CA21010ABA8198422193BC441982662)</w:t>
        </w:r>
      </w:hyperlink>
      <w:r>
        <w:rPr>
          <w:rFonts w:ascii="Calibri" w:hAnsi="Calibri" w:eastAsia="Microsoft YaHei"/>
          <w:sz w:val="17"/>
        </w:rPr>
        <w:t>.</w:t>
      </w:r>
      <w:r>
        <w:rPr>
          <w:rFonts w:ascii="Calibri" w:hAnsi="Calibri" w:eastAsia="Microsoft YaHei"/>
          <w:sz w:val="17"/>
        </w:rPr>
        <w:t xml:space="preserve"> 发布于2021-12-31，实施于2022-07-01，标准状态：现行。</w:t>
      </w:r>
    </w:p>
    <w:p>
      <w:pPr>
        <w:pStyle w:val="AurekSource"/>
      </w:pPr>
      <w:r>
        <w:rPr>
          <w:rFonts w:ascii="Calibri" w:hAnsi="Calibri" w:eastAsia="Microsoft YaHei"/>
          <w:sz w:val="17"/>
        </w:rPr>
        <w:t>[2] International Organization for Standardization. [ISO 17096:2015 Cranes—Safety—Load lifting attachments](</w:t>
      </w:r>
      <w:hyperlink r:id="rId13">
        <w:r>
          <w:rPr>
            <w:rFonts w:ascii="Calibri" w:hAnsi="Calibri" w:eastAsia="Microsoft YaHei"/>
            <w:color w:val="2E74B5"/>
            <w:u w:val="single"/>
          </w:rPr>
          <w:t>https://www.iso.org/standard/58103.html)</w:t>
        </w:r>
      </w:hyperlink>
      <w:r>
        <w:rPr>
          <w:rFonts w:ascii="Calibri" w:hAnsi="Calibri" w:eastAsia="Microsoft YaHei"/>
          <w:sz w:val="17"/>
        </w:rPr>
        <w:t>.</w:t>
      </w:r>
      <w:r>
        <w:rPr>
          <w:rFonts w:ascii="Calibri" w:hAnsi="Calibri" w:eastAsia="Microsoft YaHei"/>
          <w:sz w:val="17"/>
        </w:rPr>
        <w:t xml:space="preserve"> ISO 官方页面标示于2026年复审确认，当前版本继续有效。</w:t>
      </w:r>
    </w:p>
    <w:p>
      <w:pPr>
        <w:pStyle w:val="AurekSource"/>
      </w:pPr>
      <w:r>
        <w:rPr>
          <w:rFonts w:ascii="Calibri" w:hAnsi="Calibri" w:eastAsia="Microsoft YaHei"/>
          <w:sz w:val="17"/>
        </w:rPr>
        <w:t>[3] 国家市场监督管理总局国家标准全文公开系统. [GB/T 32293—2015 真空技术 真空设备的检漏方法选择](</w:t>
      </w:r>
      <w:hyperlink r:id="rId14">
        <w:r>
          <w:rPr>
            <w:rFonts w:ascii="Calibri" w:hAnsi="Calibri" w:eastAsia="Microsoft YaHei"/>
            <w:color w:val="2E74B5"/>
            <w:u w:val="single"/>
          </w:rPr>
          <w:t>https://openstd.samr.gov.cn/bzgk/std/newGbInfo?hcno=24CEB44CD262915DDDC696905A1E7073)</w:t>
        </w:r>
      </w:hyperlink>
      <w:r>
        <w:rPr>
          <w:rFonts w:ascii="Calibri" w:hAnsi="Calibri" w:eastAsia="Microsoft YaHei"/>
          <w:sz w:val="17"/>
        </w:rPr>
        <w:t>.</w:t>
      </w:r>
      <w:r>
        <w:rPr>
          <w:rFonts w:ascii="Calibri" w:hAnsi="Calibri" w:eastAsia="Microsoft YaHei"/>
          <w:sz w:val="17"/>
        </w:rPr>
        <w:t xml:space="preserve"> 发布于2015-12-10，实施于2016-07-01，标准状态：现行。</w:t>
      </w:r>
    </w:p>
    <w:p>
      <w:pPr>
        <w:pStyle w:val="AurekSource"/>
      </w:pPr>
      <w:r>
        <w:rPr>
          <w:rFonts w:ascii="Calibri" w:hAnsi="Calibri" w:eastAsia="Microsoft YaHei"/>
          <w:sz w:val="17"/>
        </w:rPr>
        <w:t>[4] International Organization for Standardization. [ISO 4414:2010 Pneumatic fluid power—General rules and safety requirements for systems and their components](</w:t>
      </w:r>
      <w:hyperlink r:id="rId15">
        <w:r>
          <w:rPr>
            <w:rFonts w:ascii="Calibri" w:hAnsi="Calibri" w:eastAsia="Microsoft YaHei"/>
            <w:color w:val="2E74B5"/>
            <w:u w:val="single"/>
          </w:rPr>
          <w:t>https://www.iso.org/standard/44790.html)</w:t>
        </w:r>
      </w:hyperlink>
      <w:r>
        <w:rPr>
          <w:rFonts w:ascii="Calibri" w:hAnsi="Calibri" w:eastAsia="Microsoft YaHei"/>
          <w:sz w:val="17"/>
        </w:rPr>
        <w:t>.</w:t>
      </w:r>
      <w:r>
        <w:rPr>
          <w:rFonts w:ascii="Calibri" w:hAnsi="Calibri" w:eastAsia="Microsoft YaHei"/>
          <w:sz w:val="17"/>
        </w:rPr>
        <w:t xml:space="preserve"> ISO 官方页面标示该版本于2021年复审确认。</w:t>
      </w:r>
    </w:p>
    <w:p>
      <w:pPr>
        <w:pStyle w:val="AurekSource"/>
      </w:pPr>
      <w:r>
        <w:rPr>
          <w:rFonts w:ascii="Calibri" w:hAnsi="Calibri" w:eastAsia="Microsoft YaHei"/>
          <w:sz w:val="17"/>
        </w:rPr>
        <w:t>[5] SMC Corporation. [Vacuum Equipment: Model Selection and Common Precautions](</w:t>
      </w:r>
      <w:hyperlink r:id="rId16">
        <w:r>
          <w:rPr>
            <w:rFonts w:ascii="Calibri" w:hAnsi="Calibri" w:eastAsia="Microsoft YaHei"/>
            <w:color w:val="2E74B5"/>
            <w:u w:val="single"/>
          </w:rPr>
          <w:t>https://www.smcworld.com/catalog/BEST-technical-data-en/pdf/Vacuum-Common_en.pdf)</w:t>
        </w:r>
      </w:hyperlink>
      <w:r>
        <w:rPr>
          <w:rFonts w:ascii="Calibri" w:hAnsi="Calibri" w:eastAsia="Microsoft YaHei"/>
          <w:sz w:val="17"/>
        </w:rPr>
        <w:t>.</w:t>
      </w:r>
      <w:r>
        <w:rPr>
          <w:rFonts w:ascii="Calibri" w:hAnsi="Calibri" w:eastAsia="Microsoft YaHei"/>
          <w:sz w:val="17"/>
        </w:rPr>
        <w:t xml:space="preserve"> 官方真空元件选型资料，含泄漏估算、响应时间、压力确认与节流/止回应用。</w:t>
      </w:r>
    </w:p>
    <w:p>
      <w:pPr>
        <w:pStyle w:val="AurekSource"/>
      </w:pPr>
      <w:r>
        <w:rPr>
          <w:rFonts w:ascii="Calibri" w:hAnsi="Calibri" w:eastAsia="Microsoft YaHei"/>
          <w:sz w:val="17"/>
        </w:rPr>
        <w:t>[6] J. Schmalz GmbH. [Design of the Suction Cup](</w:t>
      </w:r>
      <w:hyperlink r:id="rId17">
        <w:r>
          <w:rPr>
            <w:rFonts w:ascii="Calibri" w:hAnsi="Calibri" w:eastAsia="Microsoft YaHei"/>
            <w:color w:val="2E74B5"/>
            <w:u w:val="single"/>
          </w:rPr>
          <w:t>https://www.schmalz.com/en-at/support/know-how/vacuum-knowledge/the-vacuum-system-and-its-components/vacuum-suction-cups/design-of-the-suction-cup)</w:t>
        </w:r>
      </w:hyperlink>
      <w:r>
        <w:rPr>
          <w:rFonts w:ascii="Calibri" w:hAnsi="Calibri" w:eastAsia="Microsoft YaHei"/>
          <w:sz w:val="17"/>
        </w:rPr>
        <w:t>.</w:t>
      </w:r>
      <w:r>
        <w:rPr>
          <w:rFonts w:ascii="Calibri" w:hAnsi="Calibri" w:eastAsia="Microsoft YaHei"/>
          <w:sz w:val="17"/>
        </w:rPr>
        <w:t xml:space="preserve"> 官方真空技术知识库。</w:t>
      </w:r>
    </w:p>
    <w:p>
      <w:pPr>
        <w:pStyle w:val="AurekSource"/>
      </w:pPr>
      <w:r>
        <w:rPr>
          <w:rFonts w:ascii="Calibri" w:hAnsi="Calibri" w:eastAsia="Microsoft YaHei"/>
          <w:sz w:val="17"/>
        </w:rPr>
        <w:t>[7] J. Schmalz GmbH. [Technical Data of Suction Cups](</w:t>
      </w:r>
      <w:hyperlink r:id="rId18">
        <w:r>
          <w:rPr>
            <w:rFonts w:ascii="Calibri" w:hAnsi="Calibri" w:eastAsia="Microsoft YaHei"/>
            <w:color w:val="2E74B5"/>
            <w:u w:val="single"/>
          </w:rPr>
          <w:t>https://www.schmalz.com/en-de/support/know-how/vacuum-knowledge/the-vacuum-system-and-its-components/vacuum-suction-cups/technical-data-of-suction-cups)</w:t>
        </w:r>
      </w:hyperlink>
      <w:r>
        <w:rPr>
          <w:rFonts w:ascii="Calibri" w:hAnsi="Calibri" w:eastAsia="Microsoft YaHei"/>
          <w:sz w:val="17"/>
        </w:rPr>
        <w:t>.</w:t>
      </w:r>
      <w:r>
        <w:rPr>
          <w:rFonts w:ascii="Calibri" w:hAnsi="Calibri" w:eastAsia="Microsoft YaHei"/>
          <w:sz w:val="17"/>
        </w:rPr>
        <w:t xml:space="preserve"> 官方真空技术知识库。</w:t>
      </w:r>
    </w:p>
    <w:p>
      <w:pPr>
        <w:pStyle w:val="AurekSource"/>
      </w:pPr>
      <w:r>
        <w:rPr>
          <w:rFonts w:ascii="Calibri" w:hAnsi="Calibri" w:eastAsia="Microsoft YaHei"/>
          <w:sz w:val="17"/>
        </w:rPr>
        <w:t>[8] Piab AB. [Handling Corrugated Cardboard: Advantages through Optimized Pressure Regulating of Air-driven Vacuum Pump](</w:t>
      </w:r>
      <w:hyperlink r:id="rId19">
        <w:r>
          <w:rPr>
            <w:rFonts w:ascii="Calibri" w:hAnsi="Calibri" w:eastAsia="Microsoft YaHei"/>
            <w:color w:val="2E74B5"/>
            <w:u w:val="single"/>
          </w:rPr>
          <w:t>https://www.piab.com/globalassets/productimages/handlingcorrugatedcardboardadvantagesthroughoptimizedpressureregulatingofairdrivenvacuumpump_gb.pdf?ref=82E74A6F5B)</w:t>
        </w:r>
      </w:hyperlink>
      <w:r>
        <w:rPr>
          <w:rFonts w:ascii="Calibri" w:hAnsi="Calibri" w:eastAsia="Microsoft YaHei"/>
          <w:sz w:val="17"/>
        </w:rPr>
        <w:t>.</w:t>
      </w:r>
      <w:r>
        <w:rPr>
          <w:rFonts w:ascii="Calibri" w:hAnsi="Calibri" w:eastAsia="Microsoft YaHei"/>
          <w:sz w:val="17"/>
        </w:rPr>
        <w:t xml:space="preserve"> 官方瓦楞纸板真空搬运技术资料。</w:t>
      </w:r>
    </w:p>
    <w:p>
      <w:pPr>
        <w:pStyle w:val="AurekSource"/>
      </w:pPr>
      <w:r>
        <w:rPr>
          <w:rFonts w:ascii="Calibri" w:hAnsi="Calibri" w:eastAsia="Microsoft YaHei"/>
          <w:sz w:val="17"/>
        </w:rPr>
        <w:t>[9] A. Tiwari, B. N. J. Persson. [Physics of suction cups](</w:t>
      </w:r>
      <w:hyperlink r:id="rId20">
        <w:r>
          <w:rPr>
            <w:rFonts w:ascii="Calibri" w:hAnsi="Calibri" w:eastAsia="Microsoft YaHei"/>
            <w:color w:val="2E74B5"/>
            <w:u w:val="single"/>
          </w:rPr>
          <w:t>https://doi.org/10.1039/C9SM01679A)</w:t>
        </w:r>
      </w:hyperlink>
      <w:r>
        <w:rPr>
          <w:rFonts w:ascii="Calibri" w:hAnsi="Calibri" w:eastAsia="Microsoft YaHei"/>
          <w:sz w:val="17"/>
        </w:rPr>
        <w:t>.</w:t>
      </w:r>
      <w:r>
        <w:rPr>
          <w:rFonts w:ascii="Calibri" w:hAnsi="Calibri" w:eastAsia="Microsoft YaHei"/>
          <w:sz w:val="17"/>
        </w:rPr>
        <w:t xml:space="preserve"> Soft Matter, 2019, 15: 9482–9499. 原始研究论文。</w:t>
      </w:r>
    </w:p>
    <w:p>
      <w:pPr>
        <w:pStyle w:val="AurekSource"/>
      </w:pPr>
      <w:r>
        <w:rPr>
          <w:rFonts w:ascii="Calibri" w:hAnsi="Calibri" w:eastAsia="Microsoft YaHei"/>
          <w:sz w:val="17"/>
        </w:rPr>
        <w:t>[10] F. Gabriel, S. Baars, M. Römer, K. Dröder. [Grasp Point Optimization and Leakage-Compliant Dimensioning of Energy-Efficient Vacuum-Based Gripping Systems](</w:t>
      </w:r>
      <w:hyperlink r:id="rId21">
        <w:r>
          <w:rPr>
            <w:rFonts w:ascii="Calibri" w:hAnsi="Calibri" w:eastAsia="Microsoft YaHei"/>
            <w:color w:val="2E74B5"/>
            <w:u w:val="single"/>
          </w:rPr>
          <w:t>https://doi.org/10.3390/machines9080149)</w:t>
        </w:r>
      </w:hyperlink>
      <w:r>
        <w:rPr>
          <w:rFonts w:ascii="Calibri" w:hAnsi="Calibri" w:eastAsia="Microsoft YaHei"/>
          <w:sz w:val="17"/>
        </w:rPr>
        <w:t>.</w:t>
      </w:r>
      <w:r>
        <w:rPr>
          <w:rFonts w:ascii="Calibri" w:hAnsi="Calibri" w:eastAsia="Microsoft YaHei"/>
          <w:sz w:val="17"/>
        </w:rPr>
        <w:t xml:space="preserve"> Machines, 2021, 9(8):149. 原始研究论文。</w:t>
      </w:r>
    </w:p>
    <w:p>
      <w:pPr>
        <w:pStyle w:val="AurekSource"/>
      </w:pPr>
      <w:r>
        <w:rPr>
          <w:rFonts w:ascii="Calibri" w:hAnsi="Calibri" w:eastAsia="Microsoft YaHei"/>
          <w:sz w:val="17"/>
        </w:rPr>
        <w:t>[11] Piab AB. [piCOBOT Foam Grippers](</w:t>
      </w:r>
      <w:hyperlink r:id="rId22">
        <w:r>
          <w:rPr>
            <w:rFonts w:ascii="Calibri" w:hAnsi="Calibri" w:eastAsia="Microsoft YaHei"/>
            <w:color w:val="2E74B5"/>
            <w:u w:val="single"/>
          </w:rPr>
          <w:t>https://www.piab.com/en-us/robot-and-cobot-gripping-solutions/cobots-and-robot-grippers/picobot-l-vacuum-gripper-unit/picobot-foam-grippers)</w:t>
        </w:r>
      </w:hyperlink>
      <w:r>
        <w:rPr>
          <w:rFonts w:ascii="Calibri" w:hAnsi="Calibri" w:eastAsia="Microsoft YaHei"/>
          <w:sz w:val="17"/>
        </w:rPr>
        <w:t>.</w:t>
      </w:r>
      <w:r>
        <w:rPr>
          <w:rFonts w:ascii="Calibri" w:hAnsi="Calibri" w:eastAsia="Microsoft YaHei"/>
          <w:sz w:val="17"/>
        </w:rPr>
        <w:t xml:space="preserve"> 官方产品技术页面，含不同孔隙率材料的止回阀应用说明。</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eastAsia="Microsoft YaHei"/>
        <w:color w:val="5D6670"/>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Microsoft YaHei"/>
        <w:b/>
        <w:color w:val="5D6670"/>
        <w:sz w:val="16"/>
      </w:rPr>
      <w:t>AUREK TECHNICAL RESEARCH</w:t>
    </w:r>
    <w:r>
      <w:tab/>
    </w:r>
    <w:r>
      <w:rPr>
        <w:rFonts w:ascii="Calibri" w:hAnsi="Calibri" w:eastAsia="Microsoft YaHei"/>
        <w:color w:val="5D6670"/>
        <w:sz w:val="16"/>
      </w:rPr>
      <w:t>AUREK-RC-AR-043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Arial" w:hAnsi="Arial"/>
      </w:rPr>
    </w:lvl>
  </w:abstractNum>
  <w:abstractNum w:abstractNumId="10">
    <w:multiLevelType w:val="singleLevel"/>
    <w:lvl w:ilvl="0">
      <w:start w:val="1"/>
      <w:numFmt w:val="decimal"/>
      <w:lvlText w:val="%1."/>
      <w:suff w:val="tab"/>
      <w:pPr>
        <w:tabs>
          <w:tab w:val="num" w:pos="720"/>
        </w:tabs>
        <w:ind w:left="720" w:hanging="360"/>
        <w:spacing w:after="160" w:line="280" w:lineRule="auto"/>
      </w:pPr>
    </w:lvl>
  </w:abstract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eastAsia="Microsoft YaHei"/>
      <w:b w:val="0"/>
      <w:color w:val="2226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Normal"/>
    <w:pPr>
      <w:spacing w:after="120" w:line="264" w:lineRule="auto"/>
    </w:pPr>
    <w:rPr>
      <w:rFonts w:ascii="Calibri" w:hAnsi="Calibri" w:eastAsia="Microsoft YaHei"/>
      <w:b w:val="0"/>
      <w:color w:val="5D6670"/>
      <w:sz w:val="21"/>
    </w:rPr>
  </w:style>
  <w:style w:type="paragraph" w:customStyle="1" w:styleId="AurekTable">
    <w:name w:val="Aurek Table"/>
    <w:basedOn w:val="Normal"/>
    <w:pPr>
      <w:spacing w:after="120" w:line="264" w:lineRule="auto"/>
    </w:pPr>
    <w:rPr>
      <w:rFonts w:ascii="Calibri" w:hAnsi="Calibri" w:eastAsia="Microsoft YaHei"/>
      <w:b w:val="0"/>
      <w:color w:val="22262A"/>
      <w:sz w:val="18"/>
    </w:rPr>
  </w:style>
  <w:style w:type="paragraph" w:customStyle="1" w:styleId="AurekEquation">
    <w:name w:val="Aurek Equation"/>
    <w:basedOn w:val="Normal"/>
    <w:pPr>
      <w:spacing w:after="120" w:line="264" w:lineRule="auto"/>
    </w:pPr>
    <w:rPr>
      <w:rFonts w:ascii="Calibri" w:hAnsi="Calibri" w:eastAsia="Microsoft YaHei"/>
      <w:b w:val="0"/>
      <w:color w:val="203748"/>
      <w:sz w:val="19"/>
    </w:rPr>
  </w:style>
  <w:style w:type="paragraph" w:customStyle="1" w:styleId="AurekSource">
    <w:name w:val="Aurek Source"/>
    <w:basedOn w:val="Normal"/>
    <w:pPr>
      <w:spacing w:after="120" w:line="264" w:lineRule="auto"/>
    </w:pPr>
    <w:rPr>
      <w:rFonts w:ascii="Calibri" w:hAnsi="Calibri" w:eastAsia="Microsoft YaHei"/>
      <w:b w:val="0"/>
      <w:color w:val="5D6670"/>
      <w:sz w:val="17"/>
    </w:rPr>
  </w:style>
  <w:style w:type="paragraph" w:customStyle="1" w:styleId="AurekCallout">
    <w:name w:val="Aurek Callout"/>
    <w:basedOn w:val="Normal"/>
    <w:pPr>
      <w:spacing w:after="120" w:line="264" w:lineRule="auto"/>
    </w:pPr>
    <w:rPr>
      <w:rFonts w:ascii="Calibri" w:hAnsi="Calibri" w:eastAsia="Microsoft YaHei"/>
      <w:b w:val="0"/>
      <w:color w:val="203748"/>
      <w:sz w:val="20"/>
    </w:rPr>
  </w:style>
  <w:style w:type="paragraph" w:customStyle="1" w:styleId="AurekList">
    <w:name w:val="Aurek List"/>
    <w:basedOn w:val="Normal"/>
    <w:pPr>
      <w:spacing w:after="120" w:line="280" w:lineRule="auto"/>
    </w:pPr>
    <w:rPr>
      <w:rFonts w:ascii="Calibri" w:hAnsi="Calibri" w:eastAsia="Microsoft YaHei"/>
      <w:b w:val="0"/>
      <w:color w:val="22262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openstd.samr.gov.cn/bzgk/std/newGbInfo?hcno=4CA21010ABA8198422193BC441982662)" TargetMode="External"/><Relationship Id="rId13" Type="http://schemas.openxmlformats.org/officeDocument/2006/relationships/hyperlink" Target="https://www.iso.org/standard/58103.html)" TargetMode="External"/><Relationship Id="rId14" Type="http://schemas.openxmlformats.org/officeDocument/2006/relationships/hyperlink" Target="https://openstd.samr.gov.cn/bzgk/std/newGbInfo?hcno=24CEB44CD262915DDDC696905A1E7073)" TargetMode="External"/><Relationship Id="rId15" Type="http://schemas.openxmlformats.org/officeDocument/2006/relationships/hyperlink" Target="https://www.iso.org/standard/44790.html)" TargetMode="External"/><Relationship Id="rId16" Type="http://schemas.openxmlformats.org/officeDocument/2006/relationships/hyperlink" Target="https://www.smcworld.com/catalog/BEST-technical-data-en/pdf/Vacuum-Common_en.pdf)" TargetMode="External"/><Relationship Id="rId17" Type="http://schemas.openxmlformats.org/officeDocument/2006/relationships/hyperlink" Target="https://www.schmalz.com/en-at/support/know-how/vacuum-knowledge/the-vacuum-system-and-its-components/vacuum-suction-cups/design-of-the-suction-cup)" TargetMode="External"/><Relationship Id="rId18" Type="http://schemas.openxmlformats.org/officeDocument/2006/relationships/hyperlink" Target="https://www.schmalz.com/en-de/support/know-how/vacuum-knowledge/the-vacuum-system-and-its-components/vacuum-suction-cups/technical-data-of-suction-cups)" TargetMode="External"/><Relationship Id="rId19" Type="http://schemas.openxmlformats.org/officeDocument/2006/relationships/hyperlink" Target="https://www.piab.com/globalassets/productimages/handlingcorrugatedcardboardadvantagesthroughoptimizedpressureregulatingofairdrivenvacuumpump_gb.pdf?ref=82E74A6F5B)" TargetMode="External"/><Relationship Id="rId20" Type="http://schemas.openxmlformats.org/officeDocument/2006/relationships/hyperlink" Target="https://doi.org/10.1039/C9SM01679A)" TargetMode="External"/><Relationship Id="rId21" Type="http://schemas.openxmlformats.org/officeDocument/2006/relationships/hyperlink" Target="https://doi.org/10.3390/machines9080149)" TargetMode="External"/><Relationship Id="rId22" Type="http://schemas.openxmlformats.org/officeDocument/2006/relationships/hyperlink" Target="https://www.piab.com/en-us/robot-and-cobot-gripping-solutions/cobots-and-robot-grippers/picobot-l-vacuum-gripper-unit/picobot-foam-grip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纸箱与透气工件真空吸附能力、泄漏补偿与子系统工程放行研究</dc:title>
  <dc:subject>纸箱与透气工件真空吸附可靠性与子系统工程放行研究</dc:subject>
  <dc:creator>江苏安睿克智能科技有限公司</dc:creator>
  <cp:keywords>纸箱搬运,透气工件,真空吸附,泄漏补偿,安全放行</cp:keywords>
  <dc:description>工程研究报告；包含计算模型、试验矩阵与二元放行判据。</dc:description>
  <cp:lastModifiedBy/>
  <cp:revision>1</cp:revision>
  <dcterms:created xsi:type="dcterms:W3CDTF">2013-12-23T23:15:00Z</dcterms:created>
  <dcterms:modified xsi:type="dcterms:W3CDTF">2013-12-23T23:15:00Z</dcterms:modified>
  <cp:category/>
</cp:coreProperties>
</file>